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33" w:lineRule="exact"/>
        <w:rPr>
          <w:sz w:val="24"/>
          <w:szCs w:val="24"/>
          <w:color w:val="auto"/>
        </w:rPr>
      </w:pPr>
    </w:p>
    <w:p>
      <w:pPr>
        <w:jc w:val="center"/>
        <w:ind w:left="3960" w:right="1320" w:hanging="2625"/>
        <w:spacing w:after="0" w:line="250" w:lineRule="auto"/>
        <w:tabs>
          <w:tab w:leader="none" w:pos="1538"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 xml:space="preserve">ANNUAL REPORT PURSUANT TO SECTION 13 OR 15(d) OF THE SECURITIES EXCHANGE ACT OF 1934 For the fiscal year ended: </w:t>
      </w:r>
      <w:r>
        <w:rPr>
          <w:rFonts w:ascii="Times New Roman" w:cs="Times New Roman" w:eastAsia="Times New Roman" w:hAnsi="Times New Roman"/>
          <w:sz w:val="18"/>
          <w:szCs w:val="18"/>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OR</w:t>
      </w:r>
    </w:p>
    <w:p>
      <w:pPr>
        <w:spacing w:after="0" w:line="86" w:lineRule="exact"/>
        <w:rPr>
          <w:sz w:val="24"/>
          <w:szCs w:val="24"/>
          <w:color w:val="auto"/>
        </w:rPr>
      </w:pPr>
    </w:p>
    <w:p>
      <w:pPr>
        <w:jc w:val="center"/>
        <w:ind w:left="4540" w:right="1160" w:hanging="3365"/>
        <w:spacing w:after="0" w:line="266" w:lineRule="auto"/>
        <w:tabs>
          <w:tab w:leader="none" w:pos="1386"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 xml:space="preserve">TRANSITION REPORT PURSUANT TO SECTION 13 OR 15(d) OF THE SECURITIES EXCHANGE ACT OF 1934 Commissions file no. </w:t>
      </w:r>
      <w:r>
        <w:rPr>
          <w:rFonts w:ascii="Times New Roman" w:cs="Times New Roman" w:eastAsia="Times New Roman" w:hAnsi="Times New Roman"/>
          <w:sz w:val="18"/>
          <w:szCs w:val="18"/>
          <w:b w:val="1"/>
          <w:bCs w:val="1"/>
          <w:color w:val="auto"/>
        </w:rPr>
        <w:t>1-33741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123190</wp:posOffset>
            </wp:positionV>
            <wp:extent cx="2503170" cy="394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03170"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58"/>
          <w:szCs w:val="58"/>
          <w:color w:val="auto"/>
        </w:rPr>
        <w:t xml:space="preserve">DallasNews </w:t>
      </w:r>
      <w:r>
        <w:rPr>
          <w:rFonts w:ascii="Times New Roman" w:cs="Times New Roman" w:eastAsia="Times New Roman" w:hAnsi="Times New Roman"/>
          <w:sz w:val="32"/>
          <w:szCs w:val="32"/>
          <w:b w:val="1"/>
          <w:bCs w:val="1"/>
          <w:color w:val="auto"/>
        </w:rPr>
        <w:t>CORPORATION</w:t>
      </w:r>
    </w:p>
    <w:p>
      <w:pPr>
        <w:spacing w:after="0" w:line="1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188"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4"/>
          <w:szCs w:val="14"/>
          <w:b w:val="1"/>
          <w:bCs w:val="1"/>
          <w:color w:val="auto"/>
        </w:rPr>
        <w:t>Texas</w:t>
      </w:r>
    </w:p>
    <w:p>
      <w:pPr>
        <w:spacing w:after="0" w:line="19"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4"/>
          <w:szCs w:val="14"/>
          <w:b w:val="1"/>
          <w:bCs w:val="1"/>
          <w:color w:val="auto"/>
        </w:rPr>
        <w:t>38-3765318</w:t>
      </w:r>
    </w:p>
    <w:p>
      <w:pPr>
        <w:spacing w:after="0" w:line="19"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45" w:lineRule="exact"/>
        <w:rPr>
          <w:sz w:val="24"/>
          <w:szCs w:val="24"/>
          <w:color w:val="auto"/>
        </w:rPr>
      </w:pPr>
    </w:p>
    <w:p>
      <w:pPr>
        <w:sectPr>
          <w:pgSz w:w="11900" w:h="16838" w:orient="portrait"/>
          <w:cols w:equalWidth="0" w:num="2">
            <w:col w:w="6800" w:space="720"/>
            <w:col w:w="3720"/>
          </w:cols>
          <w:pgMar w:left="320" w:top="405" w:right="339" w:bottom="1440" w:gutter="0" w:footer="0" w:header="0"/>
          <w:type w:val="continuous"/>
        </w:sectPr>
      </w:pPr>
    </w:p>
    <w:p>
      <w:pPr>
        <w:ind w:left="1400"/>
        <w:spacing w:after="0"/>
        <w:tabs>
          <w:tab w:leader="none" w:pos="8100" w:val="left"/>
        </w:tabs>
        <w:rPr>
          <w:sz w:val="20"/>
          <w:szCs w:val="20"/>
          <w:color w:val="auto"/>
        </w:rPr>
      </w:pPr>
      <w:r>
        <w:rPr>
          <w:rFonts w:ascii="Times New Roman" w:cs="Times New Roman" w:eastAsia="Times New Roman" w:hAnsi="Times New Roman"/>
          <w:sz w:val="14"/>
          <w:szCs w:val="14"/>
          <w:b w:val="1"/>
          <w:bCs w:val="1"/>
          <w:color w:val="auto"/>
        </w:rPr>
        <w:t>P. O. Box 224866, Dallas, Texas 75222-4866</w:t>
      </w:r>
      <w:r>
        <w:rPr>
          <w:sz w:val="20"/>
          <w:szCs w:val="20"/>
          <w:color w:val="auto"/>
        </w:rPr>
        <w:tab/>
      </w:r>
      <w:r>
        <w:rPr>
          <w:rFonts w:ascii="Times New Roman" w:cs="Times New Roman" w:eastAsia="Times New Roman" w:hAnsi="Times New Roman"/>
          <w:sz w:val="14"/>
          <w:szCs w:val="14"/>
          <w:b w:val="1"/>
          <w:bCs w:val="1"/>
          <w:color w:val="auto"/>
        </w:rPr>
        <w:t>(214) 977-8869</w:t>
      </w:r>
    </w:p>
    <w:p>
      <w:pPr>
        <w:spacing w:after="0" w:line="19" w:lineRule="exact"/>
        <w:rPr>
          <w:sz w:val="24"/>
          <w:szCs w:val="24"/>
          <w:color w:val="auto"/>
        </w:rPr>
      </w:pPr>
    </w:p>
    <w:p>
      <w:pPr>
        <w:ind w:left="1020"/>
        <w:spacing w:after="0"/>
        <w:tabs>
          <w:tab w:leader="none" w:pos="7040" w:val="left"/>
        </w:tabs>
        <w:rPr>
          <w:sz w:val="20"/>
          <w:szCs w:val="20"/>
          <w:color w:val="auto"/>
        </w:rPr>
      </w:pPr>
      <w:r>
        <w:rPr>
          <w:rFonts w:ascii="Times New Roman" w:cs="Times New Roman" w:eastAsia="Times New Roman" w:hAnsi="Times New Roman"/>
          <w:sz w:val="14"/>
          <w:szCs w:val="14"/>
          <w:color w:val="auto"/>
        </w:rPr>
        <w:t>(Address of principal executive offices, including zip code)</w:t>
      </w:r>
      <w:r>
        <w:rPr>
          <w:sz w:val="20"/>
          <w:szCs w:val="20"/>
          <w:color w:val="auto"/>
        </w:rPr>
        <w:tab/>
      </w:r>
      <w:r>
        <w:rPr>
          <w:rFonts w:ascii="Times New Roman" w:cs="Times New Roman" w:eastAsia="Times New Roman" w:hAnsi="Times New Roman"/>
          <w:sz w:val="14"/>
          <w:szCs w:val="14"/>
          <w:color w:val="auto"/>
        </w:rPr>
        <w:t>(Registrant’s telephone number, including area code)</w:t>
      </w:r>
    </w:p>
    <w:p>
      <w:pPr>
        <w:spacing w:after="0" w:line="8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ectPr>
          <w:pgSz w:w="11900" w:h="16838" w:orient="portrait"/>
          <w:cols w:equalWidth="0" w:num="1">
            <w:col w:w="11240"/>
          </w:cols>
          <w:pgMar w:left="320" w:top="405" w:right="339" w:bottom="1440" w:gutter="0" w:footer="0" w:header="0"/>
          <w:type w:val="continuous"/>
        </w:sectPr>
      </w:pPr>
    </w:p>
    <w:p>
      <w:pPr>
        <w:spacing w:after="0" w:line="258" w:lineRule="exact"/>
        <w:rPr>
          <w:sz w:val="24"/>
          <w:szCs w:val="24"/>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Title of each class</w:t>
      </w:r>
    </w:p>
    <w:p>
      <w:pPr>
        <w:spacing w:after="0" w:line="17" w:lineRule="exact"/>
        <w:rPr>
          <w:sz w:val="24"/>
          <w:szCs w:val="24"/>
          <w:color w:val="auto"/>
        </w:rPr>
      </w:pPr>
    </w:p>
    <w:p>
      <w:pPr>
        <w:jc w:val="center"/>
        <w:ind w:left="640"/>
        <w:spacing w:after="0"/>
        <w:rPr>
          <w:sz w:val="20"/>
          <w:szCs w:val="20"/>
          <w:color w:val="auto"/>
        </w:rPr>
      </w:pPr>
      <w:r>
        <w:rPr>
          <w:rFonts w:ascii="Times New Roman" w:cs="Times New Roman" w:eastAsia="Times New Roman" w:hAnsi="Times New Roman"/>
          <w:sz w:val="14"/>
          <w:szCs w:val="14"/>
          <w:b w:val="1"/>
          <w:bCs w:val="1"/>
          <w:color w:val="auto"/>
        </w:rPr>
        <w:t>Series A Common Stock, $0.01 par value</w:t>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4"/>
          <w:szCs w:val="14"/>
          <w:color w:val="auto"/>
        </w:rPr>
        <w:t>Trading Symbol</w:t>
      </w:r>
    </w:p>
    <w:p>
      <w:pPr>
        <w:spacing w:after="0" w:line="17"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DALN</w:t>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4"/>
          <w:szCs w:val="14"/>
          <w:color w:val="auto"/>
        </w:rPr>
        <w:t>Name of each exchange on which registered</w:t>
      </w:r>
    </w:p>
    <w:p>
      <w:pPr>
        <w:spacing w:after="0" w:line="17"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p>
      <w:pPr>
        <w:spacing w:after="0" w:line="80" w:lineRule="exact"/>
        <w:rPr>
          <w:sz w:val="24"/>
          <w:szCs w:val="24"/>
          <w:color w:val="auto"/>
        </w:rPr>
      </w:pPr>
    </w:p>
    <w:p>
      <w:pPr>
        <w:sectPr>
          <w:pgSz w:w="11900" w:h="16838" w:orient="portrait"/>
          <w:cols w:equalWidth="0" w:num="3">
            <w:col w:w="4540" w:space="720"/>
            <w:col w:w="1500" w:space="720"/>
            <w:col w:w="3760"/>
          </w:cols>
          <w:pgMar w:left="320" w:top="405" w:right="339" w:bottom="1440" w:gutter="0" w:footer="0" w:header="0"/>
          <w:type w:val="continuous"/>
        </w:sectPr>
      </w:pPr>
    </w:p>
    <w:p>
      <w:pPr>
        <w:ind w:left="3960"/>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w:t>
      </w:r>
    </w:p>
    <w:p>
      <w:pPr>
        <w:spacing w:after="0" w:line="4"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4"/>
          <w:szCs w:val="14"/>
          <w:b w:val="1"/>
          <w:bCs w:val="1"/>
          <w:color w:val="auto"/>
        </w:rPr>
        <w:t>Series B Common Stock, $0.01 par value (Title of class)</w:t>
      </w:r>
    </w:p>
    <w:p>
      <w:pPr>
        <w:sectPr>
          <w:pgSz w:w="11900" w:h="16838" w:orient="portrait"/>
          <w:cols w:equalWidth="0" w:num="1">
            <w:col w:w="11240"/>
          </w:cols>
          <w:pgMar w:left="320" w:top="405" w:right="339" w:bottom="1440" w:gutter="0" w:footer="0" w:header="0"/>
          <w:type w:val="continuous"/>
        </w:sectPr>
      </w:pPr>
    </w:p>
    <w:p>
      <w:pPr>
        <w:spacing w:after="0" w:line="80" w:lineRule="exact"/>
        <w:rPr>
          <w:sz w:val="24"/>
          <w:szCs w:val="24"/>
          <w:color w:val="auto"/>
        </w:rPr>
      </w:pPr>
    </w:p>
    <w:p>
      <w:pPr>
        <w:ind w:left="6340"/>
        <w:spacing w:after="0"/>
        <w:rPr>
          <w:sz w:val="20"/>
          <w:szCs w:val="20"/>
          <w:color w:val="auto"/>
        </w:rPr>
      </w:pPr>
      <w:r>
        <w:rPr>
          <w:rFonts w:ascii="Times New Roman" w:cs="Times New Roman" w:eastAsia="Times New Roman" w:hAnsi="Times New Roman"/>
          <w:sz w:val="13"/>
          <w:szCs w:val="13"/>
          <w:color w:val="auto"/>
        </w:rPr>
        <w:t xml:space="preserve">Yes </w:t>
      </w:r>
      <w:r>
        <w:rPr>
          <w:rFonts w:ascii="Wingdings" w:cs="Wingdings" w:eastAsia="Wingdings" w:hAnsi="Wingdings"/>
          <w:sz w:val="13"/>
          <w:szCs w:val="13"/>
          <w:b w:val="1"/>
          <w:bCs w:val="1"/>
          <w:color w:val="auto"/>
        </w:rPr>
        <w:t></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No </w:t>
      </w:r>
      <w:r>
        <w:rPr>
          <w:rFonts w:ascii="Wingdings" w:cs="Wingdings" w:eastAsia="Wingdings" w:hAnsi="Wingdings"/>
          <w:sz w:val="14"/>
          <w:szCs w:val="14"/>
          <w:b w:val="1"/>
          <w:bCs w:val="1"/>
          <w:color w:val="auto"/>
        </w:rPr>
        <w:t></w:t>
      </w:r>
    </w:p>
    <w:p>
      <w:pPr>
        <w:spacing w:after="0" w:line="82" w:lineRule="exact"/>
        <w:rPr>
          <w:sz w:val="24"/>
          <w:szCs w:val="24"/>
          <w:color w:val="auto"/>
        </w:rPr>
      </w:pPr>
    </w:p>
    <w:p>
      <w:pPr>
        <w:sectPr>
          <w:pgSz w:w="11900" w:h="16838" w:orient="portrait"/>
          <w:cols w:equalWidth="0" w:num="2">
            <w:col w:w="6700" w:space="180"/>
            <w:col w:w="4360"/>
          </w:cols>
          <w:pgMar w:left="320" w:top="405" w:right="339" w:bottom="1440" w:gutter="0" w:footer="0" w:header="0"/>
          <w:type w:val="continuous"/>
        </w:sectPr>
      </w:pPr>
    </w:p>
    <w:p>
      <w:pPr>
        <w:spacing w:after="0"/>
        <w:tabs>
          <w:tab w:leader="none" w:pos="7640" w:val="left"/>
          <w:tab w:leader="none" w:pos="8160" w:val="left"/>
        </w:tabs>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Exchange Act.</w:t>
        <w:tab/>
        <w:t xml:space="preserve">Yes </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ab/>
        <w:t xml:space="preserve">No </w:t>
      </w:r>
      <w:r>
        <w:rPr>
          <w:rFonts w:ascii="Wingdings" w:cs="Wingdings" w:eastAsia="Wingdings" w:hAnsi="Wingdings"/>
          <w:sz w:val="14"/>
          <w:szCs w:val="14"/>
          <w:b w:val="1"/>
          <w:bCs w:val="1"/>
          <w:color w:val="auto"/>
        </w:rPr>
        <w:t></w:t>
      </w:r>
    </w:p>
    <w:p>
      <w:pPr>
        <w:spacing w:after="0" w:line="96" w:lineRule="exact"/>
        <w:rPr>
          <w:sz w:val="24"/>
          <w:szCs w:val="24"/>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w:t>
      </w:r>
    </w:p>
    <w:p>
      <w:pPr>
        <w:spacing w:after="0" w:line="4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w:t>
      </w:r>
    </w:p>
    <w:p>
      <w:pPr>
        <w:spacing w:after="0" w:line="27"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7" w:lineRule="exact"/>
        <w:rPr>
          <w:sz w:val="24"/>
          <w:szCs w:val="24"/>
          <w:color w:val="auto"/>
        </w:rPr>
      </w:pPr>
    </w:p>
    <w:p>
      <w:pPr>
        <w:spacing w:after="0"/>
        <w:tabs>
          <w:tab w:leader="none" w:pos="2860" w:val="left"/>
          <w:tab w:leader="none" w:pos="5160" w:val="left"/>
          <w:tab w:leader="none" w:pos="786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Wingdings" w:cs="Wingdings" w:eastAsia="Wingdings" w:hAnsi="Wingdings"/>
          <w:sz w:val="14"/>
          <w:szCs w:val="14"/>
          <w:b w:val="1"/>
          <w:bCs w:val="1"/>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Wingdings" w:cs="Wingdings" w:eastAsia="Wingdings" w:hAnsi="Wingdings"/>
          <w:sz w:val="14"/>
          <w:szCs w:val="14"/>
          <w:b w:val="1"/>
          <w:bCs w:val="1"/>
          <w:color w:val="auto"/>
        </w:rPr>
        <w:t></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Wingdings" w:cs="Wingdings" w:eastAsia="Wingdings" w:hAnsi="Wingdings"/>
          <w:sz w:val="14"/>
          <w:szCs w:val="14"/>
          <w:b w:val="1"/>
          <w:bCs w:val="1"/>
          <w:color w:val="auto"/>
        </w:rPr>
        <w:t></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Wingdings" w:cs="Wingdings" w:eastAsia="Wingdings" w:hAnsi="Wingdings"/>
          <w:sz w:val="14"/>
          <w:szCs w:val="14"/>
          <w:b w:val="1"/>
          <w:bCs w:val="1"/>
          <w:color w:val="auto"/>
        </w:rPr>
        <w:t></w:t>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Emerging Growth Company: </w:t>
      </w:r>
      <w:r>
        <w:rPr>
          <w:rFonts w:ascii="Wingdings" w:cs="Wingdings" w:eastAsia="Wingdings" w:hAnsi="Wingdings"/>
          <w:sz w:val="14"/>
          <w:szCs w:val="14"/>
          <w:b w:val="1"/>
          <w:bCs w:val="1"/>
          <w:color w:val="auto"/>
        </w:rPr>
        <w:t></w:t>
      </w:r>
    </w:p>
    <w:p>
      <w:pPr>
        <w:spacing w:after="0" w:line="9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w:t>
      </w:r>
    </w:p>
    <w:p>
      <w:pPr>
        <w:spacing w:after="0" w:line="94" w:lineRule="exact"/>
        <w:rPr>
          <w:sz w:val="24"/>
          <w:szCs w:val="24"/>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4"/>
          <w:szCs w:val="14"/>
          <w:b w:val="1"/>
          <w:bCs w:val="1"/>
          <w:color w:val="auto"/>
        </w:rPr>
        <w:t></w:t>
      </w:r>
    </w:p>
    <w:p>
      <w:pPr>
        <w:spacing w:after="0" w:line="55" w:lineRule="exact"/>
        <w:rPr>
          <w:sz w:val="24"/>
          <w:szCs w:val="24"/>
          <w:color w:val="auto"/>
        </w:rPr>
      </w:pPr>
    </w:p>
    <w:p>
      <w:pPr>
        <w:spacing w:after="0"/>
        <w:tabs>
          <w:tab w:leader="none" w:pos="6140" w:val="left"/>
          <w:tab w:leader="none" w:pos="668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ab/>
        <w:t xml:space="preserve">No </w:t>
      </w:r>
      <w:r>
        <w:rPr>
          <w:rFonts w:ascii="Wingdings" w:cs="Wingdings" w:eastAsia="Wingdings" w:hAnsi="Wingdings"/>
          <w:sz w:val="14"/>
          <w:szCs w:val="14"/>
          <w:b w:val="1"/>
          <w:bCs w:val="1"/>
          <w:color w:val="auto"/>
        </w:rPr>
        <w:t></w:t>
      </w:r>
    </w:p>
    <w:p>
      <w:pPr>
        <w:spacing w:after="0" w:line="8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The aggregate market value of the registrant’s voting stock held by nonaffiliates on June 30, 2022, based on the closing price for the registrant’s Series A Common Stock on such date as reported on The Nasdaq Stock Market LLC, was approximately $29,518,354.*</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Shares of Common Stock outstanding at March 6, 2023: 5,352,490 shares (consisting of 4,737,772 shares of Series A Common Stock and 614,718 shares of Series B Common Stock).</w:t>
      </w:r>
    </w:p>
    <w:p>
      <w:pPr>
        <w:spacing w:after="0" w:line="8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For purposes of this calculation, the market value of a share of Series B Common Stock was assumed to be the same as a share of Series A Common Stock into which it is convertible.</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Documents incorporated by reference:</w:t>
      </w:r>
    </w:p>
    <w:p>
      <w:pPr>
        <w:spacing w:after="0" w:line="8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Selected designated portions of the registrant’s definitive proxy statement, relating to the Annual Meeting of Shareholders to be held on May 11, 2023, are incorporated by reference into Parts II and III of this Annual Report.</w:t>
      </w:r>
    </w:p>
    <w:p>
      <w:pPr>
        <w:spacing w:after="0" w:line="34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DallasNews Corporation 2022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7"/>
        </w:trPr>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0" w:type="dxa"/>
            <w:vAlign w:val="bottom"/>
            <w:gridSpan w:val="16"/>
          </w:tcPr>
          <w:p>
            <w:pPr>
              <w:jc w:val="center"/>
              <w:ind w:right="2440"/>
              <w:spacing w:after="0"/>
              <w:rPr>
                <w:sz w:val="20"/>
                <w:szCs w:val="20"/>
                <w:color w:val="auto"/>
              </w:rPr>
            </w:pPr>
            <w:r>
              <w:rPr>
                <w:rFonts w:ascii="Times New Roman" w:cs="Times New Roman" w:eastAsia="Times New Roman" w:hAnsi="Times New Roman"/>
                <w:sz w:val="25"/>
                <w:szCs w:val="25"/>
                <w:b w:val="1"/>
                <w:bCs w:val="1"/>
                <w:color w:val="auto"/>
              </w:rPr>
              <w:t>DALLASNEWS CORPORATION</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70"/>
        </w:trPr>
        <w:tc>
          <w:tcPr>
            <w:tcW w:w="9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520" w:type="dxa"/>
            <w:vAlign w:val="bottom"/>
            <w:gridSpan w:val="13"/>
          </w:tcPr>
          <w:p>
            <w:pPr>
              <w:jc w:val="center"/>
              <w:ind w:right="3520"/>
              <w:spacing w:after="0" w:line="270" w:lineRule="exact"/>
              <w:rPr>
                <w:sz w:val="20"/>
                <w:szCs w:val="20"/>
                <w:color w:val="auto"/>
              </w:rPr>
            </w:pPr>
            <w:r>
              <w:rPr>
                <w:rFonts w:ascii="Times New Roman" w:cs="Times New Roman" w:eastAsia="Times New Roman" w:hAnsi="Times New Roman"/>
                <w:sz w:val="25"/>
                <w:szCs w:val="25"/>
                <w:b w:val="1"/>
                <w:bCs w:val="1"/>
                <w:color w:val="auto"/>
              </w:rPr>
              <w:t>FORM 10-K</w:t>
            </w: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334"/>
        </w:trPr>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140" w:type="dxa"/>
            <w:vAlign w:val="bottom"/>
            <w:gridSpan w:val="14"/>
          </w:tcPr>
          <w:p>
            <w:pPr>
              <w:jc w:val="center"/>
              <w:ind w:right="2880"/>
              <w:spacing w:after="0"/>
              <w:rPr>
                <w:sz w:val="20"/>
                <w:szCs w:val="20"/>
                <w:color w:val="auto"/>
              </w:rPr>
            </w:pPr>
            <w:r>
              <w:rPr>
                <w:rFonts w:ascii="Times New Roman" w:cs="Times New Roman" w:eastAsia="Times New Roman" w:hAnsi="Times New Roman"/>
                <w:sz w:val="25"/>
                <w:szCs w:val="25"/>
                <w:b w:val="1"/>
                <w:bCs w:val="1"/>
                <w:color w:val="auto"/>
              </w:rPr>
              <w:t>TABLE OF CONTENTS</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51"/>
        </w:trPr>
        <w:tc>
          <w:tcPr>
            <w:tcW w:w="9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94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49"/>
        </w:trPr>
        <w:tc>
          <w:tcPr>
            <w:tcW w:w="9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right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right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right w:val="single" w:sz="8" w:color="CCEEFF"/>
            </w:tcBorders>
            <w:shd w:val="clear" w:color="auto" w:fill="CCEEFF"/>
          </w:tcPr>
          <w:p>
            <w:pPr>
              <w:spacing w:after="0"/>
              <w:rPr>
                <w:sz w:val="12"/>
                <w:szCs w:val="12"/>
                <w:color w:val="auto"/>
              </w:rPr>
            </w:pPr>
          </w:p>
        </w:tc>
        <w:tc>
          <w:tcPr>
            <w:tcW w:w="600" w:type="dxa"/>
            <w:vAlign w:val="bottom"/>
            <w:tcBorders>
              <w:bottom w:val="single" w:sz="8" w:color="0000FF"/>
              <w:right w:val="single" w:sz="8" w:color="CCEEFF"/>
            </w:tcBorders>
            <w:gridSpan w:val="2"/>
            <w:shd w:val="clear" w:color="auto" w:fill="CCEEFF"/>
          </w:tcPr>
          <w:p>
            <w:pPr>
              <w:jc w:val="center"/>
              <w:ind w:right="20"/>
              <w:spacing w:after="0" w:line="142" w:lineRule="exact"/>
              <w:rPr>
                <w:sz w:val="20"/>
                <w:szCs w:val="20"/>
                <w:color w:val="auto"/>
              </w:rPr>
            </w:pPr>
            <w:r>
              <w:rPr>
                <w:rFonts w:ascii="Times New Roman" w:cs="Times New Roman" w:eastAsia="Times New Roman" w:hAnsi="Times New Roman"/>
                <w:sz w:val="16"/>
                <w:szCs w:val="16"/>
                <w:b w:val="1"/>
                <w:bCs w:val="1"/>
                <w:color w:val="0000FF"/>
              </w:rPr>
              <w:t>PART I</w:t>
            </w:r>
          </w:p>
        </w:tc>
        <w:tc>
          <w:tcPr>
            <w:tcW w:w="4200" w:type="dxa"/>
            <w:vAlign w:val="bottom"/>
            <w:tcBorders>
              <w:bottom w:val="single" w:sz="8" w:color="CCEEFF"/>
              <w:right w:val="single" w:sz="8" w:color="CCEEFF"/>
            </w:tcBorders>
            <w:gridSpan w:val="8"/>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left w:val="single" w:sz="8" w:color="CCEEFF"/>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r>
      <w:tr>
        <w:trPr>
          <w:trHeight w:val="162"/>
        </w:trPr>
        <w:tc>
          <w:tcPr>
            <w:tcW w:w="9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Item 1.</w:t>
            </w:r>
          </w:p>
        </w:tc>
        <w:tc>
          <w:tcPr>
            <w:tcW w:w="9220" w:type="dxa"/>
            <w:vAlign w:val="bottom"/>
            <w:gridSpan w:val="23"/>
          </w:tcPr>
          <w:p>
            <w:pPr>
              <w:spacing w:after="0" w:line="162" w:lineRule="exact"/>
              <w:rPr>
                <w:sz w:val="20"/>
                <w:szCs w:val="20"/>
                <w:color w:val="auto"/>
              </w:rPr>
            </w:pPr>
            <w:r>
              <w:rPr>
                <w:rFonts w:ascii="Times New Roman" w:cs="Times New Roman" w:eastAsia="Times New Roman" w:hAnsi="Times New Roman"/>
                <w:sz w:val="16"/>
                <w:szCs w:val="16"/>
                <w:color w:val="0000FF"/>
              </w:rPr>
              <w:t>Business</w:t>
            </w:r>
          </w:p>
        </w:tc>
        <w:tc>
          <w:tcPr>
            <w:tcW w:w="1100" w:type="dxa"/>
            <w:vAlign w:val="bottom"/>
            <w:gridSpan w:val="3"/>
          </w:tcPr>
          <w:p>
            <w:pPr>
              <w:spacing w:after="0" w:line="162" w:lineRule="exact"/>
              <w:rPr>
                <w:sz w:val="20"/>
                <w:szCs w:val="20"/>
                <w:color w:val="auto"/>
              </w:rPr>
            </w:pPr>
            <w:r>
              <w:rPr>
                <w:rFonts w:ascii="Times New Roman" w:cs="Times New Roman" w:eastAsia="Times New Roman" w:hAnsi="Times New Roman"/>
                <w:sz w:val="16"/>
                <w:szCs w:val="16"/>
                <w:color w:val="0000FF"/>
              </w:rPr>
              <w:t xml:space="preserve">PAGE </w:t>
            </w:r>
            <w:r>
              <w:rPr>
                <w:rFonts w:ascii="Times New Roman" w:cs="Times New Roman" w:eastAsia="Times New Roman" w:hAnsi="Times New Roman"/>
                <w:sz w:val="17"/>
                <w:szCs w:val="17"/>
                <w:color w:val="0000FF"/>
              </w:rPr>
              <w:t>3</w:t>
            </w:r>
          </w:p>
        </w:tc>
      </w:tr>
      <w:tr>
        <w:trPr>
          <w:trHeight w:val="27"/>
        </w:trPr>
        <w:tc>
          <w:tcPr>
            <w:tcW w:w="92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500" w:type="dxa"/>
            <w:vAlign w:val="bottom"/>
          </w:tcPr>
          <w:p>
            <w:pPr>
              <w:spacing w:after="0"/>
              <w:rPr>
                <w:sz w:val="2"/>
                <w:szCs w:val="2"/>
                <w:color w:val="auto"/>
              </w:rPr>
            </w:pPr>
          </w:p>
        </w:tc>
      </w:tr>
      <w:tr>
        <w:trPr>
          <w:trHeight w:val="148"/>
        </w:trPr>
        <w:tc>
          <w:tcPr>
            <w:tcW w:w="92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Item 1B.</w:t>
            </w:r>
          </w:p>
        </w:tc>
        <w:tc>
          <w:tcPr>
            <w:tcW w:w="9220" w:type="dxa"/>
            <w:vAlign w:val="bottom"/>
            <w:tcBorders>
              <w:right w:val="single" w:sz="8" w:color="CCEEFF"/>
            </w:tcBorders>
            <w:gridSpan w:val="23"/>
            <w:shd w:val="clear" w:color="auto" w:fill="CCEEFF"/>
          </w:tcPr>
          <w:p>
            <w:pPr>
              <w:spacing w:after="0" w:line="148" w:lineRule="exact"/>
              <w:rPr>
                <w:sz w:val="20"/>
                <w:szCs w:val="20"/>
                <w:color w:val="auto"/>
              </w:rPr>
            </w:pPr>
            <w:r>
              <w:rPr>
                <w:rFonts w:ascii="Times New Roman" w:cs="Times New Roman" w:eastAsia="Times New Roman" w:hAnsi="Times New Roman"/>
                <w:sz w:val="16"/>
                <w:szCs w:val="16"/>
                <w:color w:val="0000FF"/>
              </w:rPr>
              <w:t>Unresolved Staff Comments</w:t>
            </w:r>
          </w:p>
        </w:tc>
        <w:tc>
          <w:tcPr>
            <w:tcW w:w="1100" w:type="dxa"/>
            <w:vAlign w:val="bottom"/>
            <w:gridSpan w:val="3"/>
            <w:shd w:val="clear" w:color="auto" w:fill="CCEEFF"/>
          </w:tcPr>
          <w:p>
            <w:pPr>
              <w:spacing w:after="0" w:line="148" w:lineRule="exact"/>
              <w:rPr>
                <w:sz w:val="20"/>
                <w:szCs w:val="20"/>
                <w:color w:val="auto"/>
              </w:rPr>
            </w:pPr>
            <w:r>
              <w:rPr>
                <w:rFonts w:ascii="Times New Roman" w:cs="Times New Roman" w:eastAsia="Times New Roman" w:hAnsi="Times New Roman"/>
                <w:sz w:val="16"/>
                <w:szCs w:val="16"/>
                <w:color w:val="0000FF"/>
              </w:rPr>
              <w:t>PAGE 7</w:t>
            </w:r>
          </w:p>
        </w:tc>
      </w:tr>
      <w:tr>
        <w:trPr>
          <w:trHeight w:val="27"/>
        </w:trPr>
        <w:tc>
          <w:tcPr>
            <w:tcW w:w="920" w:type="dxa"/>
            <w:vAlign w:val="bottom"/>
            <w:shd w:val="clear" w:color="auto" w:fill="CCEE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4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80" w:type="dxa"/>
            <w:vAlign w:val="bottom"/>
            <w:tcBorders>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6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940" w:type="dxa"/>
            <w:vAlign w:val="bottom"/>
            <w:tcBorders>
              <w:right w:val="single" w:sz="8" w:color="CCEEFF"/>
            </w:tcBorders>
            <w:shd w:val="clear" w:color="auto" w:fill="CCEE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r>
      <w:tr>
        <w:trPr>
          <w:trHeight w:val="148"/>
        </w:trPr>
        <w:tc>
          <w:tcPr>
            <w:tcW w:w="92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Item 2.</w:t>
            </w:r>
          </w:p>
        </w:tc>
        <w:tc>
          <w:tcPr>
            <w:tcW w:w="1840" w:type="dxa"/>
            <w:vAlign w:val="bottom"/>
            <w:gridSpan w:val="6"/>
          </w:tcPr>
          <w:p>
            <w:pPr>
              <w:spacing w:after="0" w:line="148" w:lineRule="exact"/>
              <w:rPr>
                <w:sz w:val="20"/>
                <w:szCs w:val="20"/>
                <w:color w:val="auto"/>
              </w:rPr>
            </w:pPr>
            <w:r>
              <w:rPr>
                <w:rFonts w:ascii="Times New Roman" w:cs="Times New Roman" w:eastAsia="Times New Roman" w:hAnsi="Times New Roman"/>
                <w:sz w:val="16"/>
                <w:szCs w:val="16"/>
                <w:color w:val="0000FF"/>
              </w:rPr>
              <w:t>Properties</w:t>
            </w:r>
          </w:p>
        </w:tc>
        <w:tc>
          <w:tcPr>
            <w:tcW w:w="7380" w:type="dxa"/>
            <w:vAlign w:val="bottom"/>
            <w:gridSpan w:val="17"/>
          </w:tcPr>
          <w:p>
            <w:pPr>
              <w:spacing w:after="0"/>
              <w:rPr>
                <w:sz w:val="12"/>
                <w:szCs w:val="12"/>
                <w:color w:val="auto"/>
              </w:rPr>
            </w:pPr>
          </w:p>
        </w:tc>
        <w:tc>
          <w:tcPr>
            <w:tcW w:w="1100" w:type="dxa"/>
            <w:vAlign w:val="bottom"/>
            <w:gridSpan w:val="3"/>
          </w:tcPr>
          <w:p>
            <w:pPr>
              <w:spacing w:after="0" w:line="148" w:lineRule="exact"/>
              <w:rPr>
                <w:sz w:val="20"/>
                <w:szCs w:val="20"/>
                <w:color w:val="auto"/>
              </w:rPr>
            </w:pPr>
            <w:r>
              <w:rPr>
                <w:rFonts w:ascii="Times New Roman" w:cs="Times New Roman" w:eastAsia="Times New Roman" w:hAnsi="Times New Roman"/>
                <w:sz w:val="16"/>
                <w:szCs w:val="16"/>
                <w:color w:val="0000FF"/>
              </w:rPr>
              <w:t>PAGE 7</w:t>
            </w:r>
          </w:p>
        </w:tc>
      </w:tr>
      <w:tr>
        <w:trPr>
          <w:trHeight w:val="27"/>
        </w:trPr>
        <w:tc>
          <w:tcPr>
            <w:tcW w:w="92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148"/>
        </w:trPr>
        <w:tc>
          <w:tcPr>
            <w:tcW w:w="92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Item 3.</w:t>
            </w:r>
          </w:p>
        </w:tc>
        <w:tc>
          <w:tcPr>
            <w:tcW w:w="9220" w:type="dxa"/>
            <w:vAlign w:val="bottom"/>
            <w:tcBorders>
              <w:right w:val="single" w:sz="8" w:color="CCEEFF"/>
            </w:tcBorders>
            <w:gridSpan w:val="23"/>
            <w:shd w:val="clear" w:color="auto" w:fill="CCEEFF"/>
          </w:tcPr>
          <w:p>
            <w:pPr>
              <w:spacing w:after="0" w:line="148" w:lineRule="exact"/>
              <w:rPr>
                <w:sz w:val="20"/>
                <w:szCs w:val="20"/>
                <w:color w:val="auto"/>
              </w:rPr>
            </w:pPr>
            <w:r>
              <w:rPr>
                <w:rFonts w:ascii="Times New Roman" w:cs="Times New Roman" w:eastAsia="Times New Roman" w:hAnsi="Times New Roman"/>
                <w:sz w:val="16"/>
                <w:szCs w:val="16"/>
                <w:color w:val="0000FF"/>
              </w:rPr>
              <w:t>Legal Proceedings</w:t>
            </w:r>
          </w:p>
        </w:tc>
        <w:tc>
          <w:tcPr>
            <w:tcW w:w="1100" w:type="dxa"/>
            <w:vAlign w:val="bottom"/>
            <w:gridSpan w:val="3"/>
            <w:shd w:val="clear" w:color="auto" w:fill="CCEEFF"/>
          </w:tcPr>
          <w:p>
            <w:pPr>
              <w:spacing w:after="0" w:line="148" w:lineRule="exact"/>
              <w:rPr>
                <w:sz w:val="20"/>
                <w:szCs w:val="20"/>
                <w:color w:val="auto"/>
              </w:rPr>
            </w:pPr>
            <w:r>
              <w:rPr>
                <w:rFonts w:ascii="Times New Roman" w:cs="Times New Roman" w:eastAsia="Times New Roman" w:hAnsi="Times New Roman"/>
                <w:sz w:val="16"/>
                <w:szCs w:val="16"/>
                <w:color w:val="0000FF"/>
              </w:rPr>
              <w:t>PAGE 8</w:t>
            </w:r>
          </w:p>
        </w:tc>
      </w:tr>
      <w:tr>
        <w:trPr>
          <w:trHeight w:val="27"/>
        </w:trPr>
        <w:tc>
          <w:tcPr>
            <w:tcW w:w="920" w:type="dxa"/>
            <w:vAlign w:val="bottom"/>
            <w:shd w:val="clear" w:color="auto" w:fill="CCEE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44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tcBorders>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6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940" w:type="dxa"/>
            <w:vAlign w:val="bottom"/>
            <w:tcBorders>
              <w:right w:val="single" w:sz="8" w:color="CCEEFF"/>
            </w:tcBorders>
            <w:shd w:val="clear" w:color="auto" w:fill="CCEE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r>
      <w:tr>
        <w:trPr>
          <w:trHeight w:val="156"/>
        </w:trPr>
        <w:tc>
          <w:tcPr>
            <w:tcW w:w="92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Item 4.</w:t>
            </w:r>
          </w:p>
        </w:tc>
        <w:tc>
          <w:tcPr>
            <w:tcW w:w="9220" w:type="dxa"/>
            <w:vAlign w:val="bottom"/>
            <w:gridSpan w:val="23"/>
          </w:tcPr>
          <w:p>
            <w:pPr>
              <w:spacing w:after="0" w:line="148" w:lineRule="exact"/>
              <w:rPr>
                <w:sz w:val="20"/>
                <w:szCs w:val="20"/>
                <w:color w:val="auto"/>
              </w:rPr>
            </w:pPr>
            <w:r>
              <w:rPr>
                <w:rFonts w:ascii="Times New Roman" w:cs="Times New Roman" w:eastAsia="Times New Roman" w:hAnsi="Times New Roman"/>
                <w:sz w:val="16"/>
                <w:szCs w:val="16"/>
                <w:color w:val="0000FF"/>
              </w:rPr>
              <w:t>Mine Safety Disclosures</w:t>
            </w:r>
          </w:p>
        </w:tc>
        <w:tc>
          <w:tcPr>
            <w:tcW w:w="1100" w:type="dxa"/>
            <w:vAlign w:val="bottom"/>
            <w:gridSpan w:val="3"/>
          </w:tcPr>
          <w:p>
            <w:pPr>
              <w:spacing w:after="0" w:line="148" w:lineRule="exact"/>
              <w:rPr>
                <w:sz w:val="20"/>
                <w:szCs w:val="20"/>
                <w:color w:val="auto"/>
              </w:rPr>
            </w:pPr>
            <w:r>
              <w:rPr>
                <w:rFonts w:ascii="Times New Roman" w:cs="Times New Roman" w:eastAsia="Times New Roman" w:hAnsi="Times New Roman"/>
                <w:sz w:val="16"/>
                <w:szCs w:val="16"/>
                <w:color w:val="0000FF"/>
              </w:rPr>
              <w:t>PAGE 8</w:t>
            </w:r>
          </w:p>
        </w:tc>
      </w:tr>
      <w:tr>
        <w:trPr>
          <w:trHeight w:val="189"/>
        </w:trPr>
        <w:tc>
          <w:tcPr>
            <w:tcW w:w="920" w:type="dxa"/>
            <w:vAlign w:val="bottom"/>
            <w:shd w:val="clear" w:color="auto" w:fill="CCEEFF"/>
          </w:tcPr>
          <w:p>
            <w:pPr>
              <w:spacing w:after="0"/>
              <w:rPr>
                <w:sz w:val="16"/>
                <w:szCs w:val="16"/>
                <w:color w:val="auto"/>
              </w:rPr>
            </w:pPr>
          </w:p>
        </w:tc>
        <w:tc>
          <w:tcPr>
            <w:tcW w:w="58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520" w:type="dxa"/>
            <w:vAlign w:val="bottom"/>
            <w:tcBorders>
              <w:top w:val="single" w:sz="8" w:color="0000FF"/>
            </w:tcBorders>
            <w:shd w:val="clear" w:color="auto" w:fill="CCEEFF"/>
          </w:tcPr>
          <w:p>
            <w:pPr>
              <w:spacing w:after="0"/>
              <w:rPr>
                <w:sz w:val="16"/>
                <w:szCs w:val="16"/>
                <w:color w:val="auto"/>
              </w:rPr>
            </w:pPr>
          </w:p>
        </w:tc>
        <w:tc>
          <w:tcPr>
            <w:tcW w:w="440" w:type="dxa"/>
            <w:vAlign w:val="bottom"/>
            <w:tcBorders>
              <w:top w:val="single" w:sz="8" w:color="0000FF"/>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940" w:type="dxa"/>
            <w:vAlign w:val="bottom"/>
            <w:tcBorders>
              <w:right w:val="single" w:sz="8" w:color="CCEEFF"/>
            </w:tcBorders>
            <w:shd w:val="clear" w:color="auto" w:fill="CCEEFF"/>
          </w:tcPr>
          <w:p>
            <w:pPr>
              <w:spacing w:after="0"/>
              <w:rPr>
                <w:sz w:val="16"/>
                <w:szCs w:val="16"/>
                <w:color w:val="auto"/>
              </w:rPr>
            </w:pPr>
          </w:p>
        </w:tc>
        <w:tc>
          <w:tcPr>
            <w:tcW w:w="520" w:type="dxa"/>
            <w:vAlign w:val="bottom"/>
            <w:tcBorders>
              <w:top w:val="single" w:sz="8" w:color="0000FF"/>
            </w:tcBorders>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r>
      <w:tr>
        <w:trPr>
          <w:trHeight w:val="162"/>
        </w:trPr>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0" w:type="dxa"/>
            <w:vAlign w:val="bottom"/>
            <w:gridSpan w:val="10"/>
          </w:tcPr>
          <w:p>
            <w:pPr>
              <w:jc w:val="center"/>
              <w:ind w:right="4180"/>
              <w:spacing w:after="0" w:line="162" w:lineRule="exact"/>
              <w:rPr>
                <w:sz w:val="20"/>
                <w:szCs w:val="20"/>
                <w:color w:val="auto"/>
              </w:rPr>
            </w:pPr>
            <w:r>
              <w:rPr>
                <w:rFonts w:ascii="Times New Roman" w:cs="Times New Roman" w:eastAsia="Times New Roman" w:hAnsi="Times New Roman"/>
                <w:sz w:val="18"/>
                <w:szCs w:val="18"/>
                <w:b w:val="1"/>
                <w:bCs w:val="1"/>
                <w:color w:val="0000FF"/>
                <w:w w:val="91"/>
              </w:rPr>
              <w:t>PART II</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27"/>
        </w:trPr>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right w:val="single" w:sz="8" w:color="0000FF"/>
            </w:tcBorders>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149"/>
        </w:trPr>
        <w:tc>
          <w:tcPr>
            <w:tcW w:w="92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Item 5.</w:t>
            </w:r>
          </w:p>
        </w:tc>
        <w:tc>
          <w:tcPr>
            <w:tcW w:w="7280" w:type="dxa"/>
            <w:vAlign w:val="bottom"/>
            <w:gridSpan w:val="22"/>
            <w:shd w:val="clear" w:color="auto" w:fill="CCEEFF"/>
          </w:tcPr>
          <w:p>
            <w:pPr>
              <w:spacing w:after="0" w:line="148" w:lineRule="exact"/>
              <w:rPr>
                <w:sz w:val="20"/>
                <w:szCs w:val="20"/>
                <w:color w:val="auto"/>
              </w:rPr>
            </w:pPr>
            <w:r>
              <w:rPr>
                <w:rFonts w:ascii="Times New Roman" w:cs="Times New Roman" w:eastAsia="Times New Roman" w:hAnsi="Times New Roman"/>
                <w:sz w:val="16"/>
                <w:szCs w:val="16"/>
                <w:color w:val="0000FF"/>
              </w:rPr>
              <w:t>Market for Registrant’s Common Equity, Related Stockholder Matters and Issuer Purchases of Equity Securities</w:t>
            </w:r>
          </w:p>
        </w:tc>
        <w:tc>
          <w:tcPr>
            <w:tcW w:w="1940" w:type="dxa"/>
            <w:vAlign w:val="bottom"/>
            <w:tcBorders>
              <w:right w:val="single" w:sz="8" w:color="CCEEFF"/>
            </w:tcBorders>
            <w:shd w:val="clear" w:color="auto" w:fill="CCEEFF"/>
          </w:tcPr>
          <w:p>
            <w:pPr>
              <w:spacing w:after="0"/>
              <w:rPr>
                <w:sz w:val="12"/>
                <w:szCs w:val="12"/>
                <w:color w:val="auto"/>
              </w:rPr>
            </w:pPr>
          </w:p>
        </w:tc>
        <w:tc>
          <w:tcPr>
            <w:tcW w:w="1100" w:type="dxa"/>
            <w:vAlign w:val="bottom"/>
            <w:gridSpan w:val="3"/>
            <w:shd w:val="clear" w:color="auto" w:fill="CCEEFF"/>
          </w:tcPr>
          <w:p>
            <w:pPr>
              <w:spacing w:after="0" w:line="148" w:lineRule="exact"/>
              <w:rPr>
                <w:sz w:val="20"/>
                <w:szCs w:val="20"/>
                <w:color w:val="auto"/>
              </w:rPr>
            </w:pPr>
            <w:r>
              <w:rPr>
                <w:rFonts w:ascii="Times New Roman" w:cs="Times New Roman" w:eastAsia="Times New Roman" w:hAnsi="Times New Roman"/>
                <w:sz w:val="16"/>
                <w:szCs w:val="16"/>
                <w:color w:val="0000FF"/>
              </w:rPr>
              <w:t>PAGE 9</w:t>
            </w:r>
          </w:p>
        </w:tc>
      </w:tr>
      <w:tr>
        <w:trPr>
          <w:trHeight w:val="27"/>
        </w:trPr>
        <w:tc>
          <w:tcPr>
            <w:tcW w:w="920" w:type="dxa"/>
            <w:vAlign w:val="bottom"/>
            <w:shd w:val="clear" w:color="auto" w:fill="CCEE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4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8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66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940" w:type="dxa"/>
            <w:vAlign w:val="bottom"/>
            <w:tcBorders>
              <w:right w:val="single" w:sz="8" w:color="CCEEFF"/>
            </w:tcBorders>
            <w:shd w:val="clear" w:color="auto" w:fill="CCEE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r>
      <w:tr>
        <w:trPr>
          <w:trHeight w:val="148"/>
        </w:trPr>
        <w:tc>
          <w:tcPr>
            <w:tcW w:w="92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Item 7.</w:t>
            </w:r>
          </w:p>
        </w:tc>
        <w:tc>
          <w:tcPr>
            <w:tcW w:w="5820" w:type="dxa"/>
            <w:vAlign w:val="bottom"/>
            <w:gridSpan w:val="18"/>
          </w:tcPr>
          <w:p>
            <w:pPr>
              <w:spacing w:after="0" w:line="148" w:lineRule="exact"/>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1460" w:type="dxa"/>
            <w:vAlign w:val="bottom"/>
            <w:gridSpan w:val="4"/>
          </w:tcPr>
          <w:p>
            <w:pPr>
              <w:spacing w:after="0"/>
              <w:rPr>
                <w:sz w:val="12"/>
                <w:szCs w:val="12"/>
                <w:color w:val="auto"/>
              </w:rPr>
            </w:pPr>
          </w:p>
        </w:tc>
        <w:tc>
          <w:tcPr>
            <w:tcW w:w="1940" w:type="dxa"/>
            <w:vAlign w:val="bottom"/>
          </w:tcPr>
          <w:p>
            <w:pPr>
              <w:spacing w:after="0"/>
              <w:rPr>
                <w:sz w:val="12"/>
                <w:szCs w:val="12"/>
                <w:color w:val="auto"/>
              </w:rPr>
            </w:pPr>
          </w:p>
        </w:tc>
        <w:tc>
          <w:tcPr>
            <w:tcW w:w="1100" w:type="dxa"/>
            <w:vAlign w:val="bottom"/>
            <w:gridSpan w:val="3"/>
          </w:tcPr>
          <w:p>
            <w:pPr>
              <w:spacing w:after="0" w:line="148" w:lineRule="exact"/>
              <w:rPr>
                <w:sz w:val="20"/>
                <w:szCs w:val="20"/>
                <w:color w:val="auto"/>
              </w:rPr>
            </w:pPr>
            <w:r>
              <w:rPr>
                <w:rFonts w:ascii="Times New Roman" w:cs="Times New Roman" w:eastAsia="Times New Roman" w:hAnsi="Times New Roman"/>
                <w:sz w:val="16"/>
                <w:szCs w:val="16"/>
                <w:color w:val="0000FF"/>
              </w:rPr>
              <w:t>PAGE 10</w:t>
            </w:r>
          </w:p>
        </w:tc>
      </w:tr>
      <w:tr>
        <w:trPr>
          <w:trHeight w:val="27"/>
        </w:trPr>
        <w:tc>
          <w:tcPr>
            <w:tcW w:w="92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4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8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500" w:type="dxa"/>
            <w:vAlign w:val="bottom"/>
          </w:tcPr>
          <w:p>
            <w:pPr>
              <w:spacing w:after="0"/>
              <w:rPr>
                <w:sz w:val="2"/>
                <w:szCs w:val="2"/>
                <w:color w:val="auto"/>
              </w:rPr>
            </w:pPr>
          </w:p>
        </w:tc>
      </w:tr>
      <w:tr>
        <w:trPr>
          <w:trHeight w:val="148"/>
        </w:trPr>
        <w:tc>
          <w:tcPr>
            <w:tcW w:w="92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Item 8.</w:t>
            </w:r>
          </w:p>
        </w:tc>
        <w:tc>
          <w:tcPr>
            <w:tcW w:w="5820" w:type="dxa"/>
            <w:vAlign w:val="bottom"/>
            <w:gridSpan w:val="18"/>
            <w:shd w:val="clear" w:color="auto" w:fill="CCEEFF"/>
          </w:tcPr>
          <w:p>
            <w:pPr>
              <w:spacing w:after="0" w:line="148" w:lineRule="exact"/>
              <w:rPr>
                <w:sz w:val="20"/>
                <w:szCs w:val="20"/>
                <w:color w:val="auto"/>
              </w:rPr>
            </w:pPr>
            <w:r>
              <w:rPr>
                <w:rFonts w:ascii="Times New Roman" w:cs="Times New Roman" w:eastAsia="Times New Roman" w:hAnsi="Times New Roman"/>
                <w:sz w:val="16"/>
                <w:szCs w:val="16"/>
                <w:color w:val="0000FF"/>
              </w:rPr>
              <w:t>Financial Statements and Supplementary Data</w:t>
            </w:r>
          </w:p>
        </w:tc>
        <w:tc>
          <w:tcPr>
            <w:tcW w:w="3400" w:type="dxa"/>
            <w:vAlign w:val="bottom"/>
            <w:tcBorders>
              <w:left w:val="single" w:sz="8" w:color="CCEEFF"/>
              <w:right w:val="single" w:sz="8" w:color="CCEEFF"/>
            </w:tcBorders>
            <w:gridSpan w:val="5"/>
            <w:shd w:val="clear" w:color="auto" w:fill="CCEEFF"/>
          </w:tcPr>
          <w:p>
            <w:pPr>
              <w:spacing w:after="0"/>
              <w:rPr>
                <w:sz w:val="12"/>
                <w:szCs w:val="12"/>
                <w:color w:val="auto"/>
              </w:rPr>
            </w:pPr>
          </w:p>
        </w:tc>
        <w:tc>
          <w:tcPr>
            <w:tcW w:w="1100" w:type="dxa"/>
            <w:vAlign w:val="bottom"/>
            <w:gridSpan w:val="3"/>
            <w:shd w:val="clear" w:color="auto" w:fill="CCEEFF"/>
          </w:tcPr>
          <w:p>
            <w:pPr>
              <w:spacing w:after="0" w:line="148" w:lineRule="exact"/>
              <w:rPr>
                <w:sz w:val="20"/>
                <w:szCs w:val="20"/>
                <w:color w:val="auto"/>
              </w:rPr>
            </w:pPr>
            <w:r>
              <w:rPr>
                <w:rFonts w:ascii="Times New Roman" w:cs="Times New Roman" w:eastAsia="Times New Roman" w:hAnsi="Times New Roman"/>
                <w:sz w:val="16"/>
                <w:szCs w:val="16"/>
                <w:color w:val="0000FF"/>
              </w:rPr>
              <w:t>PAGE 19</w:t>
            </w:r>
          </w:p>
        </w:tc>
      </w:tr>
      <w:tr>
        <w:trPr>
          <w:trHeight w:val="27"/>
        </w:trPr>
        <w:tc>
          <w:tcPr>
            <w:tcW w:w="920" w:type="dxa"/>
            <w:vAlign w:val="bottom"/>
            <w:shd w:val="clear" w:color="auto" w:fill="CCEE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4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8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6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940" w:type="dxa"/>
            <w:vAlign w:val="bottom"/>
            <w:tcBorders>
              <w:right w:val="single" w:sz="8" w:color="CCEEFF"/>
            </w:tcBorders>
            <w:shd w:val="clear" w:color="auto" w:fill="CCEE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500" w:type="dxa"/>
            <w:vAlign w:val="bottom"/>
            <w:shd w:val="clear" w:color="auto" w:fill="CCEEFF"/>
          </w:tcPr>
          <w:p>
            <w:pPr>
              <w:spacing w:after="0"/>
              <w:rPr>
                <w:sz w:val="2"/>
                <w:szCs w:val="2"/>
                <w:color w:val="auto"/>
              </w:rPr>
            </w:pPr>
          </w:p>
        </w:tc>
      </w:tr>
      <w:tr>
        <w:trPr>
          <w:trHeight w:val="148"/>
        </w:trPr>
        <w:tc>
          <w:tcPr>
            <w:tcW w:w="92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Item 9.</w:t>
            </w:r>
          </w:p>
        </w:tc>
        <w:tc>
          <w:tcPr>
            <w:tcW w:w="5820" w:type="dxa"/>
            <w:vAlign w:val="bottom"/>
            <w:gridSpan w:val="18"/>
          </w:tcPr>
          <w:p>
            <w:pPr>
              <w:spacing w:after="0" w:line="148" w:lineRule="exact"/>
              <w:rPr>
                <w:sz w:val="20"/>
                <w:szCs w:val="20"/>
                <w:color w:val="auto"/>
              </w:rPr>
            </w:pPr>
            <w:r>
              <w:rPr>
                <w:rFonts w:ascii="Times New Roman" w:cs="Times New Roman" w:eastAsia="Times New Roman" w:hAnsi="Times New Roman"/>
                <w:sz w:val="16"/>
                <w:szCs w:val="16"/>
                <w:color w:val="0000FF"/>
              </w:rPr>
              <w:t>Changes in and Disagreements with Accountants on Accounting and Financial Disclosure</w:t>
            </w:r>
          </w:p>
        </w:tc>
        <w:tc>
          <w:tcPr>
            <w:tcW w:w="3400" w:type="dxa"/>
            <w:vAlign w:val="bottom"/>
            <w:gridSpan w:val="5"/>
          </w:tcPr>
          <w:p>
            <w:pPr>
              <w:spacing w:after="0"/>
              <w:rPr>
                <w:sz w:val="12"/>
                <w:szCs w:val="12"/>
                <w:color w:val="auto"/>
              </w:rPr>
            </w:pPr>
          </w:p>
        </w:tc>
        <w:tc>
          <w:tcPr>
            <w:tcW w:w="1100" w:type="dxa"/>
            <w:vAlign w:val="bottom"/>
            <w:gridSpan w:val="3"/>
          </w:tcPr>
          <w:p>
            <w:pPr>
              <w:spacing w:after="0" w:line="148" w:lineRule="exact"/>
              <w:rPr>
                <w:sz w:val="20"/>
                <w:szCs w:val="20"/>
                <w:color w:val="auto"/>
              </w:rPr>
            </w:pPr>
            <w:r>
              <w:rPr>
                <w:rFonts w:ascii="Times New Roman" w:cs="Times New Roman" w:eastAsia="Times New Roman" w:hAnsi="Times New Roman"/>
                <w:sz w:val="16"/>
                <w:szCs w:val="16"/>
                <w:color w:val="0000FF"/>
              </w:rPr>
              <w:t>PAGE 19</w:t>
            </w:r>
          </w:p>
        </w:tc>
      </w:tr>
      <w:tr>
        <w:trPr>
          <w:trHeight w:val="27"/>
        </w:trPr>
        <w:tc>
          <w:tcPr>
            <w:tcW w:w="92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4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8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500" w:type="dxa"/>
            <w:vAlign w:val="bottom"/>
          </w:tcPr>
          <w:p>
            <w:pPr>
              <w:spacing w:after="0"/>
              <w:rPr>
                <w:sz w:val="2"/>
                <w:szCs w:val="2"/>
                <w:color w:val="auto"/>
              </w:rPr>
            </w:pPr>
          </w:p>
        </w:tc>
      </w:tr>
      <w:tr>
        <w:trPr>
          <w:trHeight w:val="155"/>
        </w:trPr>
        <w:tc>
          <w:tcPr>
            <w:tcW w:w="92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Item 9A.</w:t>
            </w:r>
          </w:p>
        </w:tc>
        <w:tc>
          <w:tcPr>
            <w:tcW w:w="5820" w:type="dxa"/>
            <w:vAlign w:val="bottom"/>
            <w:gridSpan w:val="18"/>
            <w:shd w:val="clear" w:color="auto" w:fill="CCEEFF"/>
          </w:tcPr>
          <w:p>
            <w:pPr>
              <w:spacing w:after="0" w:line="148" w:lineRule="exact"/>
              <w:rPr>
                <w:sz w:val="20"/>
                <w:szCs w:val="20"/>
                <w:color w:val="auto"/>
              </w:rPr>
            </w:pPr>
            <w:r>
              <w:rPr>
                <w:rFonts w:ascii="Times New Roman" w:cs="Times New Roman" w:eastAsia="Times New Roman" w:hAnsi="Times New Roman"/>
                <w:sz w:val="16"/>
                <w:szCs w:val="16"/>
                <w:color w:val="0000FF"/>
              </w:rPr>
              <w:t>Controls and Procedures</w:t>
            </w:r>
          </w:p>
        </w:tc>
        <w:tc>
          <w:tcPr>
            <w:tcW w:w="3400" w:type="dxa"/>
            <w:vAlign w:val="bottom"/>
            <w:tcBorders>
              <w:left w:val="single" w:sz="8" w:color="CCEEFF"/>
              <w:right w:val="single" w:sz="8" w:color="CCEEFF"/>
            </w:tcBorders>
            <w:gridSpan w:val="5"/>
            <w:shd w:val="clear" w:color="auto" w:fill="CCEEFF"/>
          </w:tcPr>
          <w:p>
            <w:pPr>
              <w:spacing w:after="0"/>
              <w:rPr>
                <w:sz w:val="13"/>
                <w:szCs w:val="13"/>
                <w:color w:val="auto"/>
              </w:rPr>
            </w:pPr>
          </w:p>
        </w:tc>
        <w:tc>
          <w:tcPr>
            <w:tcW w:w="1100" w:type="dxa"/>
            <w:vAlign w:val="bottom"/>
            <w:gridSpan w:val="3"/>
            <w:shd w:val="clear" w:color="auto" w:fill="CCEEFF"/>
          </w:tcPr>
          <w:p>
            <w:pPr>
              <w:spacing w:after="0" w:line="148" w:lineRule="exact"/>
              <w:rPr>
                <w:sz w:val="20"/>
                <w:szCs w:val="20"/>
                <w:color w:val="auto"/>
              </w:rPr>
            </w:pPr>
            <w:r>
              <w:rPr>
                <w:rFonts w:ascii="Times New Roman" w:cs="Times New Roman" w:eastAsia="Times New Roman" w:hAnsi="Times New Roman"/>
                <w:sz w:val="16"/>
                <w:szCs w:val="16"/>
                <w:color w:val="0000FF"/>
              </w:rPr>
              <w:t>PAGE 19</w:t>
            </w:r>
          </w:p>
        </w:tc>
      </w:tr>
      <w:tr>
        <w:trPr>
          <w:trHeight w:val="176"/>
        </w:trPr>
        <w:tc>
          <w:tcPr>
            <w:tcW w:w="920" w:type="dxa"/>
            <w:vAlign w:val="bottom"/>
            <w:tcBorders>
              <w:top w:val="single" w:sz="8" w:color="CCEE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940" w:type="dxa"/>
            <w:vAlign w:val="bottom"/>
            <w:tcBorders>
              <w:top w:val="single" w:sz="8" w:color="CCEE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r>
      <w:tr>
        <w:trPr>
          <w:trHeight w:val="169"/>
        </w:trPr>
        <w:tc>
          <w:tcPr>
            <w:tcW w:w="9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80" w:type="dxa"/>
            <w:vAlign w:val="bottom"/>
            <w:tcBorders>
              <w:right w:val="single" w:sz="8" w:color="CCEEFF"/>
            </w:tcBorders>
            <w:gridSpan w:val="11"/>
            <w:shd w:val="clear" w:color="auto" w:fill="CCEEFF"/>
          </w:tcPr>
          <w:p>
            <w:pPr>
              <w:jc w:val="center"/>
              <w:ind w:right="4160"/>
              <w:spacing w:after="0" w:line="162" w:lineRule="exact"/>
              <w:rPr>
                <w:sz w:val="20"/>
                <w:szCs w:val="20"/>
                <w:color w:val="auto"/>
              </w:rPr>
            </w:pPr>
            <w:r>
              <w:rPr>
                <w:rFonts w:ascii="Times New Roman" w:cs="Times New Roman" w:eastAsia="Times New Roman" w:hAnsi="Times New Roman"/>
                <w:sz w:val="18"/>
                <w:szCs w:val="18"/>
                <w:b w:val="1"/>
                <w:bCs w:val="1"/>
                <w:color w:val="0000FF"/>
                <w:w w:val="96"/>
              </w:rPr>
              <w:t>PART III</w:t>
            </w:r>
          </w:p>
        </w:tc>
        <w:tc>
          <w:tcPr>
            <w:tcW w:w="52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r>
      <w:tr>
        <w:trPr>
          <w:trHeight w:val="148"/>
        </w:trPr>
        <w:tc>
          <w:tcPr>
            <w:tcW w:w="920" w:type="dxa"/>
            <w:vAlign w:val="bottom"/>
            <w:tcBorders>
              <w:top w:val="single" w:sz="8" w:color="CCEEFF"/>
            </w:tcBorders>
          </w:tcPr>
          <w:p>
            <w:pPr>
              <w:ind w:left="20"/>
              <w:spacing w:after="0" w:line="148" w:lineRule="exact"/>
              <w:rPr>
                <w:sz w:val="20"/>
                <w:szCs w:val="20"/>
                <w:color w:val="auto"/>
              </w:rPr>
            </w:pPr>
            <w:r>
              <w:rPr>
                <w:rFonts w:ascii="Times New Roman" w:cs="Times New Roman" w:eastAsia="Times New Roman" w:hAnsi="Times New Roman"/>
                <w:sz w:val="16"/>
                <w:szCs w:val="16"/>
                <w:color w:val="auto"/>
              </w:rPr>
              <w:t>Item 10.</w:t>
            </w:r>
          </w:p>
        </w:tc>
        <w:tc>
          <w:tcPr>
            <w:tcW w:w="3700" w:type="dxa"/>
            <w:vAlign w:val="bottom"/>
            <w:tcBorders>
              <w:top w:val="single" w:sz="8" w:color="CCEEFF"/>
            </w:tcBorders>
            <w:gridSpan w:val="10"/>
          </w:tcPr>
          <w:p>
            <w:pPr>
              <w:spacing w:after="0" w:line="148" w:lineRule="exact"/>
              <w:rPr>
                <w:sz w:val="20"/>
                <w:szCs w:val="20"/>
                <w:color w:val="auto"/>
              </w:rPr>
            </w:pPr>
            <w:r>
              <w:rPr>
                <w:rFonts w:ascii="Times New Roman" w:cs="Times New Roman" w:eastAsia="Times New Roman" w:hAnsi="Times New Roman"/>
                <w:sz w:val="16"/>
                <w:szCs w:val="16"/>
                <w:color w:val="0000FF"/>
              </w:rPr>
              <w:t>Directors, Executive Officers and Corporate Governance</w:t>
            </w:r>
          </w:p>
        </w:tc>
        <w:tc>
          <w:tcPr>
            <w:tcW w:w="640" w:type="dxa"/>
            <w:vAlign w:val="bottom"/>
            <w:tcBorders>
              <w:top w:val="single" w:sz="8" w:color="CCEEFF"/>
            </w:tcBorders>
            <w:gridSpan w:val="2"/>
          </w:tcPr>
          <w:p>
            <w:pPr>
              <w:spacing w:after="0"/>
              <w:rPr>
                <w:sz w:val="12"/>
                <w:szCs w:val="12"/>
                <w:color w:val="auto"/>
              </w:rPr>
            </w:pPr>
          </w:p>
        </w:tc>
        <w:tc>
          <w:tcPr>
            <w:tcW w:w="720" w:type="dxa"/>
            <w:vAlign w:val="bottom"/>
            <w:tcBorders>
              <w:top w:val="single" w:sz="8" w:color="0000FF"/>
            </w:tcBorders>
            <w:gridSpan w:val="4"/>
          </w:tcPr>
          <w:p>
            <w:pPr>
              <w:spacing w:after="0"/>
              <w:rPr>
                <w:sz w:val="12"/>
                <w:szCs w:val="12"/>
                <w:color w:val="auto"/>
              </w:rPr>
            </w:pPr>
          </w:p>
        </w:tc>
        <w:tc>
          <w:tcPr>
            <w:tcW w:w="4160" w:type="dxa"/>
            <w:vAlign w:val="bottom"/>
            <w:tcBorders>
              <w:top w:val="single" w:sz="8" w:color="CCEEFF"/>
            </w:tcBorders>
            <w:gridSpan w:val="7"/>
          </w:tcPr>
          <w:p>
            <w:pPr>
              <w:spacing w:after="0"/>
              <w:rPr>
                <w:sz w:val="12"/>
                <w:szCs w:val="12"/>
                <w:color w:val="auto"/>
              </w:rPr>
            </w:pPr>
          </w:p>
        </w:tc>
        <w:tc>
          <w:tcPr>
            <w:tcW w:w="1100" w:type="dxa"/>
            <w:vAlign w:val="bottom"/>
            <w:tcBorders>
              <w:top w:val="single" w:sz="8" w:color="CCEEFF"/>
            </w:tcBorders>
            <w:gridSpan w:val="3"/>
          </w:tcPr>
          <w:p>
            <w:pPr>
              <w:spacing w:after="0" w:line="148" w:lineRule="exact"/>
              <w:rPr>
                <w:sz w:val="20"/>
                <w:szCs w:val="20"/>
                <w:color w:val="auto"/>
              </w:rPr>
            </w:pPr>
            <w:r>
              <w:rPr>
                <w:rFonts w:ascii="Times New Roman" w:cs="Times New Roman" w:eastAsia="Times New Roman" w:hAnsi="Times New Roman"/>
                <w:sz w:val="16"/>
                <w:szCs w:val="16"/>
                <w:color w:val="0000FF"/>
              </w:rPr>
              <w:t>PAGE 20</w:t>
            </w:r>
          </w:p>
        </w:tc>
      </w:tr>
      <w:tr>
        <w:trPr>
          <w:trHeight w:val="27"/>
        </w:trPr>
        <w:tc>
          <w:tcPr>
            <w:tcW w:w="92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4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8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500" w:type="dxa"/>
            <w:vAlign w:val="bottom"/>
          </w:tcPr>
          <w:p>
            <w:pPr>
              <w:spacing w:after="0"/>
              <w:rPr>
                <w:sz w:val="2"/>
                <w:szCs w:val="2"/>
                <w:color w:val="auto"/>
              </w:rPr>
            </w:pPr>
          </w:p>
        </w:tc>
      </w:tr>
      <w:tr>
        <w:trPr>
          <w:trHeight w:val="149"/>
        </w:trPr>
        <w:tc>
          <w:tcPr>
            <w:tcW w:w="92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Item 11.</w:t>
            </w:r>
          </w:p>
        </w:tc>
        <w:tc>
          <w:tcPr>
            <w:tcW w:w="1640" w:type="dxa"/>
            <w:vAlign w:val="bottom"/>
            <w:tcBorders>
              <w:right w:val="single" w:sz="8" w:color="CCEEFF"/>
            </w:tcBorders>
            <w:gridSpan w:val="5"/>
            <w:shd w:val="clear" w:color="auto" w:fill="CCEEFF"/>
          </w:tcPr>
          <w:p>
            <w:pPr>
              <w:spacing w:after="0" w:line="148" w:lineRule="exact"/>
              <w:rPr>
                <w:sz w:val="20"/>
                <w:szCs w:val="20"/>
                <w:color w:val="auto"/>
              </w:rPr>
            </w:pPr>
            <w:r>
              <w:rPr>
                <w:rFonts w:ascii="Times New Roman" w:cs="Times New Roman" w:eastAsia="Times New Roman" w:hAnsi="Times New Roman"/>
                <w:sz w:val="16"/>
                <w:szCs w:val="16"/>
                <w:color w:val="0000FF"/>
                <w:w w:val="99"/>
              </w:rPr>
              <w:t>Executive Compensation</w:t>
            </w:r>
          </w:p>
        </w:tc>
        <w:tc>
          <w:tcPr>
            <w:tcW w:w="2060" w:type="dxa"/>
            <w:vAlign w:val="bottom"/>
            <w:gridSpan w:val="5"/>
            <w:shd w:val="clear" w:color="auto" w:fill="CCEEFF"/>
          </w:tcPr>
          <w:p>
            <w:pPr>
              <w:spacing w:after="0"/>
              <w:rPr>
                <w:sz w:val="12"/>
                <w:szCs w:val="12"/>
                <w:color w:val="auto"/>
              </w:rPr>
            </w:pPr>
          </w:p>
        </w:tc>
        <w:tc>
          <w:tcPr>
            <w:tcW w:w="5520" w:type="dxa"/>
            <w:vAlign w:val="bottom"/>
            <w:tcBorders>
              <w:right w:val="single" w:sz="8" w:color="CCEEFF"/>
            </w:tcBorders>
            <w:gridSpan w:val="13"/>
            <w:shd w:val="clear" w:color="auto" w:fill="CCEEFF"/>
          </w:tcPr>
          <w:p>
            <w:pPr>
              <w:spacing w:after="0"/>
              <w:rPr>
                <w:sz w:val="12"/>
                <w:szCs w:val="12"/>
                <w:color w:val="auto"/>
              </w:rPr>
            </w:pPr>
          </w:p>
        </w:tc>
        <w:tc>
          <w:tcPr>
            <w:tcW w:w="1100" w:type="dxa"/>
            <w:vAlign w:val="bottom"/>
            <w:gridSpan w:val="3"/>
            <w:shd w:val="clear" w:color="auto" w:fill="CCEEFF"/>
          </w:tcPr>
          <w:p>
            <w:pPr>
              <w:spacing w:after="0" w:line="148" w:lineRule="exact"/>
              <w:rPr>
                <w:sz w:val="20"/>
                <w:szCs w:val="20"/>
                <w:color w:val="auto"/>
              </w:rPr>
            </w:pPr>
            <w:r>
              <w:rPr>
                <w:rFonts w:ascii="Times New Roman" w:cs="Times New Roman" w:eastAsia="Times New Roman" w:hAnsi="Times New Roman"/>
                <w:sz w:val="16"/>
                <w:szCs w:val="16"/>
                <w:color w:val="0000FF"/>
              </w:rPr>
              <w:t>PAGE 20</w:t>
            </w:r>
          </w:p>
        </w:tc>
      </w:tr>
      <w:tr>
        <w:trPr>
          <w:trHeight w:val="27"/>
        </w:trPr>
        <w:tc>
          <w:tcPr>
            <w:tcW w:w="920" w:type="dxa"/>
            <w:vAlign w:val="bottom"/>
            <w:shd w:val="clear" w:color="auto" w:fill="CCEE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4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tcBorders>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6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940" w:type="dxa"/>
            <w:vAlign w:val="bottom"/>
            <w:tcBorders>
              <w:right w:val="single" w:sz="8" w:color="CCEEFF"/>
            </w:tcBorders>
            <w:shd w:val="clear" w:color="auto" w:fill="CCEE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500" w:type="dxa"/>
            <w:vAlign w:val="bottom"/>
            <w:shd w:val="clear" w:color="auto" w:fill="CCEEFF"/>
          </w:tcPr>
          <w:p>
            <w:pPr>
              <w:spacing w:after="0"/>
              <w:rPr>
                <w:sz w:val="2"/>
                <w:szCs w:val="2"/>
                <w:color w:val="auto"/>
              </w:rPr>
            </w:pPr>
          </w:p>
        </w:tc>
      </w:tr>
      <w:tr>
        <w:trPr>
          <w:trHeight w:val="148"/>
        </w:trPr>
        <w:tc>
          <w:tcPr>
            <w:tcW w:w="92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Item 12.</w:t>
            </w:r>
          </w:p>
        </w:tc>
        <w:tc>
          <w:tcPr>
            <w:tcW w:w="9220" w:type="dxa"/>
            <w:vAlign w:val="bottom"/>
            <w:gridSpan w:val="23"/>
          </w:tcPr>
          <w:p>
            <w:pPr>
              <w:spacing w:after="0" w:line="148" w:lineRule="exact"/>
              <w:rPr>
                <w:sz w:val="20"/>
                <w:szCs w:val="20"/>
                <w:color w:val="auto"/>
              </w:rPr>
            </w:pPr>
            <w:r>
              <w:rPr>
                <w:rFonts w:ascii="Times New Roman" w:cs="Times New Roman" w:eastAsia="Times New Roman" w:hAnsi="Times New Roman"/>
                <w:sz w:val="16"/>
                <w:szCs w:val="16"/>
                <w:color w:val="0000FF"/>
              </w:rPr>
              <w:t>Security Ownership of Certain Beneficial Owners and Management and Related Stockholder Matters</w:t>
            </w:r>
          </w:p>
        </w:tc>
        <w:tc>
          <w:tcPr>
            <w:tcW w:w="1100" w:type="dxa"/>
            <w:vAlign w:val="bottom"/>
            <w:gridSpan w:val="3"/>
          </w:tcPr>
          <w:p>
            <w:pPr>
              <w:spacing w:after="0" w:line="148" w:lineRule="exact"/>
              <w:rPr>
                <w:sz w:val="20"/>
                <w:szCs w:val="20"/>
                <w:color w:val="auto"/>
              </w:rPr>
            </w:pPr>
            <w:r>
              <w:rPr>
                <w:rFonts w:ascii="Times New Roman" w:cs="Times New Roman" w:eastAsia="Times New Roman" w:hAnsi="Times New Roman"/>
                <w:sz w:val="16"/>
                <w:szCs w:val="16"/>
                <w:color w:val="0000FF"/>
              </w:rPr>
              <w:t>PAGE 20</w:t>
            </w:r>
          </w:p>
        </w:tc>
      </w:tr>
      <w:tr>
        <w:trPr>
          <w:trHeight w:val="27"/>
        </w:trPr>
        <w:tc>
          <w:tcPr>
            <w:tcW w:w="92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4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8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66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500" w:type="dxa"/>
            <w:vAlign w:val="bottom"/>
          </w:tcPr>
          <w:p>
            <w:pPr>
              <w:spacing w:after="0"/>
              <w:rPr>
                <w:sz w:val="2"/>
                <w:szCs w:val="2"/>
                <w:color w:val="auto"/>
              </w:rPr>
            </w:pPr>
          </w:p>
        </w:tc>
      </w:tr>
      <w:tr>
        <w:trPr>
          <w:trHeight w:val="148"/>
        </w:trPr>
        <w:tc>
          <w:tcPr>
            <w:tcW w:w="92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Item 13.</w:t>
            </w:r>
          </w:p>
        </w:tc>
        <w:tc>
          <w:tcPr>
            <w:tcW w:w="4920" w:type="dxa"/>
            <w:vAlign w:val="bottom"/>
            <w:gridSpan w:val="14"/>
            <w:shd w:val="clear" w:color="auto" w:fill="CCEEFF"/>
          </w:tcPr>
          <w:p>
            <w:pPr>
              <w:spacing w:after="0" w:line="148" w:lineRule="exact"/>
              <w:rPr>
                <w:sz w:val="20"/>
                <w:szCs w:val="20"/>
                <w:color w:val="auto"/>
              </w:rPr>
            </w:pPr>
            <w:r>
              <w:rPr>
                <w:rFonts w:ascii="Times New Roman" w:cs="Times New Roman" w:eastAsia="Times New Roman" w:hAnsi="Times New Roman"/>
                <w:sz w:val="16"/>
                <w:szCs w:val="16"/>
                <w:color w:val="0000FF"/>
              </w:rPr>
              <w:t>Certain Relationships and Related Transactions, and Director Independence</w:t>
            </w:r>
          </w:p>
        </w:tc>
        <w:tc>
          <w:tcPr>
            <w:tcW w:w="1640" w:type="dxa"/>
            <w:vAlign w:val="bottom"/>
            <w:gridSpan w:val="6"/>
            <w:shd w:val="clear" w:color="auto" w:fill="CCEEFF"/>
          </w:tcPr>
          <w:p>
            <w:pPr>
              <w:spacing w:after="0"/>
              <w:rPr>
                <w:sz w:val="12"/>
                <w:szCs w:val="12"/>
                <w:color w:val="auto"/>
              </w:rPr>
            </w:pPr>
          </w:p>
        </w:tc>
        <w:tc>
          <w:tcPr>
            <w:tcW w:w="2660" w:type="dxa"/>
            <w:vAlign w:val="bottom"/>
            <w:tcBorders>
              <w:right w:val="single" w:sz="8" w:color="CCEEFF"/>
            </w:tcBorders>
            <w:gridSpan w:val="3"/>
            <w:shd w:val="clear" w:color="auto" w:fill="CCEEFF"/>
          </w:tcPr>
          <w:p>
            <w:pPr>
              <w:spacing w:after="0"/>
              <w:rPr>
                <w:sz w:val="12"/>
                <w:szCs w:val="12"/>
                <w:color w:val="auto"/>
              </w:rPr>
            </w:pPr>
          </w:p>
        </w:tc>
        <w:tc>
          <w:tcPr>
            <w:tcW w:w="1100" w:type="dxa"/>
            <w:vAlign w:val="bottom"/>
            <w:gridSpan w:val="3"/>
            <w:shd w:val="clear" w:color="auto" w:fill="CCEEFF"/>
          </w:tcPr>
          <w:p>
            <w:pPr>
              <w:spacing w:after="0" w:line="148" w:lineRule="exact"/>
              <w:rPr>
                <w:sz w:val="20"/>
                <w:szCs w:val="20"/>
                <w:color w:val="auto"/>
              </w:rPr>
            </w:pPr>
            <w:r>
              <w:rPr>
                <w:rFonts w:ascii="Times New Roman" w:cs="Times New Roman" w:eastAsia="Times New Roman" w:hAnsi="Times New Roman"/>
                <w:sz w:val="16"/>
                <w:szCs w:val="16"/>
                <w:color w:val="0000FF"/>
              </w:rPr>
              <w:t>PAGE 20</w:t>
            </w:r>
          </w:p>
        </w:tc>
      </w:tr>
      <w:tr>
        <w:trPr>
          <w:trHeight w:val="27"/>
        </w:trPr>
        <w:tc>
          <w:tcPr>
            <w:tcW w:w="920" w:type="dxa"/>
            <w:vAlign w:val="bottom"/>
            <w:shd w:val="clear" w:color="auto" w:fill="CCEE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4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8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6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940" w:type="dxa"/>
            <w:vAlign w:val="bottom"/>
            <w:tcBorders>
              <w:right w:val="single" w:sz="8" w:color="CCEEFF"/>
            </w:tcBorders>
            <w:shd w:val="clear" w:color="auto" w:fill="CCEE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500" w:type="dxa"/>
            <w:vAlign w:val="bottom"/>
            <w:shd w:val="clear" w:color="auto" w:fill="CCEEFF"/>
          </w:tcPr>
          <w:p>
            <w:pPr>
              <w:spacing w:after="0"/>
              <w:rPr>
                <w:sz w:val="2"/>
                <w:szCs w:val="2"/>
                <w:color w:val="auto"/>
              </w:rPr>
            </w:pPr>
          </w:p>
        </w:tc>
      </w:tr>
      <w:tr>
        <w:trPr>
          <w:trHeight w:val="156"/>
        </w:trPr>
        <w:tc>
          <w:tcPr>
            <w:tcW w:w="92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Item 14.</w:t>
            </w:r>
          </w:p>
        </w:tc>
        <w:tc>
          <w:tcPr>
            <w:tcW w:w="4920" w:type="dxa"/>
            <w:vAlign w:val="bottom"/>
            <w:gridSpan w:val="14"/>
          </w:tcPr>
          <w:p>
            <w:pPr>
              <w:spacing w:after="0" w:line="148" w:lineRule="exact"/>
              <w:rPr>
                <w:sz w:val="20"/>
                <w:szCs w:val="20"/>
                <w:color w:val="auto"/>
              </w:rPr>
            </w:pPr>
            <w:r>
              <w:rPr>
                <w:rFonts w:ascii="Times New Roman" w:cs="Times New Roman" w:eastAsia="Times New Roman" w:hAnsi="Times New Roman"/>
                <w:sz w:val="16"/>
                <w:szCs w:val="16"/>
                <w:color w:val="0000FF"/>
              </w:rPr>
              <w:t>Principal Accountant Fees and Services</w:t>
            </w:r>
          </w:p>
        </w:tc>
        <w:tc>
          <w:tcPr>
            <w:tcW w:w="4300" w:type="dxa"/>
            <w:vAlign w:val="bottom"/>
            <w:gridSpan w:val="9"/>
          </w:tcPr>
          <w:p>
            <w:pPr>
              <w:spacing w:after="0"/>
              <w:rPr>
                <w:sz w:val="13"/>
                <w:szCs w:val="13"/>
                <w:color w:val="auto"/>
              </w:rPr>
            </w:pPr>
          </w:p>
        </w:tc>
        <w:tc>
          <w:tcPr>
            <w:tcW w:w="1100" w:type="dxa"/>
            <w:vAlign w:val="bottom"/>
            <w:gridSpan w:val="3"/>
          </w:tcPr>
          <w:p>
            <w:pPr>
              <w:spacing w:after="0" w:line="148" w:lineRule="exact"/>
              <w:rPr>
                <w:sz w:val="20"/>
                <w:szCs w:val="20"/>
                <w:color w:val="auto"/>
              </w:rPr>
            </w:pPr>
            <w:r>
              <w:rPr>
                <w:rFonts w:ascii="Times New Roman" w:cs="Times New Roman" w:eastAsia="Times New Roman" w:hAnsi="Times New Roman"/>
                <w:sz w:val="16"/>
                <w:szCs w:val="16"/>
                <w:color w:val="0000FF"/>
              </w:rPr>
              <w:t>PAGE 20</w:t>
            </w:r>
          </w:p>
        </w:tc>
      </w:tr>
      <w:tr>
        <w:trPr>
          <w:trHeight w:val="189"/>
        </w:trPr>
        <w:tc>
          <w:tcPr>
            <w:tcW w:w="920" w:type="dxa"/>
            <w:vAlign w:val="bottom"/>
            <w:shd w:val="clear" w:color="auto" w:fill="CCEEFF"/>
          </w:tcPr>
          <w:p>
            <w:pPr>
              <w:spacing w:after="0"/>
              <w:rPr>
                <w:sz w:val="16"/>
                <w:szCs w:val="16"/>
                <w:color w:val="auto"/>
              </w:rPr>
            </w:pPr>
          </w:p>
        </w:tc>
        <w:tc>
          <w:tcPr>
            <w:tcW w:w="58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520" w:type="dxa"/>
            <w:vAlign w:val="bottom"/>
            <w:tcBorders>
              <w:top w:val="single" w:sz="8" w:color="0000FF"/>
            </w:tcBorders>
            <w:shd w:val="clear" w:color="auto" w:fill="CCEEFF"/>
          </w:tcPr>
          <w:p>
            <w:pPr>
              <w:spacing w:after="0"/>
              <w:rPr>
                <w:sz w:val="16"/>
                <w:szCs w:val="16"/>
                <w:color w:val="auto"/>
              </w:rPr>
            </w:pPr>
          </w:p>
        </w:tc>
        <w:tc>
          <w:tcPr>
            <w:tcW w:w="440" w:type="dxa"/>
            <w:vAlign w:val="bottom"/>
            <w:tcBorders>
              <w:top w:val="single" w:sz="8" w:color="0000FF"/>
              <w:right w:val="single" w:sz="8" w:color="CCEEFF"/>
            </w:tcBorders>
            <w:shd w:val="clear" w:color="auto" w:fill="CCEEFF"/>
          </w:tcPr>
          <w:p>
            <w:pPr>
              <w:spacing w:after="0"/>
              <w:rPr>
                <w:sz w:val="16"/>
                <w:szCs w:val="16"/>
                <w:color w:val="auto"/>
              </w:rPr>
            </w:pPr>
          </w:p>
        </w:tc>
        <w:tc>
          <w:tcPr>
            <w:tcW w:w="200" w:type="dxa"/>
            <w:vAlign w:val="bottom"/>
            <w:tcBorders>
              <w:top w:val="single" w:sz="8" w:color="0000FF"/>
            </w:tcBorders>
            <w:shd w:val="clear" w:color="auto" w:fill="CCEEFF"/>
          </w:tcPr>
          <w:p>
            <w:pPr>
              <w:spacing w:after="0"/>
              <w:rPr>
                <w:sz w:val="16"/>
                <w:szCs w:val="16"/>
                <w:color w:val="auto"/>
              </w:rPr>
            </w:pPr>
          </w:p>
        </w:tc>
        <w:tc>
          <w:tcPr>
            <w:tcW w:w="780" w:type="dxa"/>
            <w:vAlign w:val="bottom"/>
            <w:tcBorders>
              <w:top w:val="single" w:sz="8" w:color="0000FF"/>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940" w:type="dxa"/>
            <w:vAlign w:val="bottom"/>
            <w:tcBorders>
              <w:right w:val="single" w:sz="8" w:color="CCEEFF"/>
            </w:tcBorders>
            <w:shd w:val="clear" w:color="auto" w:fill="CCEEFF"/>
          </w:tcPr>
          <w:p>
            <w:pPr>
              <w:spacing w:after="0"/>
              <w:rPr>
                <w:sz w:val="16"/>
                <w:szCs w:val="16"/>
                <w:color w:val="auto"/>
              </w:rPr>
            </w:pPr>
          </w:p>
        </w:tc>
        <w:tc>
          <w:tcPr>
            <w:tcW w:w="52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left w:val="single" w:sz="8" w:color="CCEEFF"/>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r>
      <w:tr>
        <w:trPr>
          <w:trHeight w:val="169"/>
        </w:trPr>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0000FF"/>
            </w:tcBorders>
            <w:gridSpan w:val="4"/>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0000FF"/>
                <w:w w:val="97"/>
              </w:rPr>
              <w:t>PART IV</w:t>
            </w:r>
          </w:p>
        </w:tc>
        <w:tc>
          <w:tcPr>
            <w:tcW w:w="4160" w:type="dxa"/>
            <w:vAlign w:val="bottom"/>
            <w:gridSpan w:val="7"/>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48"/>
        </w:trPr>
        <w:tc>
          <w:tcPr>
            <w:tcW w:w="92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Item 15.</w:t>
            </w:r>
          </w:p>
        </w:tc>
        <w:tc>
          <w:tcPr>
            <w:tcW w:w="2620" w:type="dxa"/>
            <w:vAlign w:val="bottom"/>
            <w:tcBorders>
              <w:right w:val="single" w:sz="8" w:color="CCEEFF"/>
            </w:tcBorders>
            <w:gridSpan w:val="7"/>
            <w:shd w:val="clear" w:color="auto" w:fill="CCEEFF"/>
          </w:tcPr>
          <w:p>
            <w:pPr>
              <w:spacing w:after="0" w:line="148" w:lineRule="exact"/>
              <w:rPr>
                <w:sz w:val="20"/>
                <w:szCs w:val="20"/>
                <w:color w:val="auto"/>
              </w:rPr>
            </w:pPr>
            <w:r>
              <w:rPr>
                <w:rFonts w:ascii="Times New Roman" w:cs="Times New Roman" w:eastAsia="Times New Roman" w:hAnsi="Times New Roman"/>
                <w:sz w:val="16"/>
                <w:szCs w:val="16"/>
                <w:color w:val="0000FF"/>
              </w:rPr>
              <w:t>Exhibits, Financial Statement Schedules</w:t>
            </w:r>
          </w:p>
        </w:tc>
        <w:tc>
          <w:tcPr>
            <w:tcW w:w="6600" w:type="dxa"/>
            <w:vAlign w:val="bottom"/>
            <w:tcBorders>
              <w:right w:val="single" w:sz="8" w:color="CCEEFF"/>
            </w:tcBorders>
            <w:gridSpan w:val="16"/>
            <w:shd w:val="clear" w:color="auto" w:fill="CCEEFF"/>
          </w:tcPr>
          <w:p>
            <w:pPr>
              <w:spacing w:after="0"/>
              <w:rPr>
                <w:sz w:val="12"/>
                <w:szCs w:val="12"/>
                <w:color w:val="auto"/>
              </w:rPr>
            </w:pPr>
          </w:p>
        </w:tc>
        <w:tc>
          <w:tcPr>
            <w:tcW w:w="1100" w:type="dxa"/>
            <w:vAlign w:val="bottom"/>
            <w:gridSpan w:val="3"/>
            <w:shd w:val="clear" w:color="auto" w:fill="CCEEFF"/>
          </w:tcPr>
          <w:p>
            <w:pPr>
              <w:spacing w:after="0" w:line="148" w:lineRule="exact"/>
              <w:rPr>
                <w:sz w:val="20"/>
                <w:szCs w:val="20"/>
                <w:color w:val="auto"/>
              </w:rPr>
            </w:pPr>
            <w:r>
              <w:rPr>
                <w:rFonts w:ascii="Times New Roman" w:cs="Times New Roman" w:eastAsia="Times New Roman" w:hAnsi="Times New Roman"/>
                <w:sz w:val="16"/>
                <w:szCs w:val="16"/>
                <w:color w:val="0000FF"/>
              </w:rPr>
              <w:t>PAGE 21</w:t>
            </w:r>
          </w:p>
        </w:tc>
      </w:tr>
      <w:tr>
        <w:trPr>
          <w:trHeight w:val="27"/>
        </w:trPr>
        <w:tc>
          <w:tcPr>
            <w:tcW w:w="920" w:type="dxa"/>
            <w:vAlign w:val="bottom"/>
            <w:shd w:val="clear" w:color="auto" w:fill="CCEE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4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8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6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940" w:type="dxa"/>
            <w:vAlign w:val="bottom"/>
            <w:tcBorders>
              <w:right w:val="single" w:sz="8" w:color="CCEEFF"/>
            </w:tcBorders>
            <w:shd w:val="clear" w:color="auto" w:fill="CCEE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500" w:type="dxa"/>
            <w:vAlign w:val="bottom"/>
            <w:shd w:val="clear" w:color="auto" w:fill="CCEEFF"/>
          </w:tcPr>
          <w:p>
            <w:pPr>
              <w:spacing w:after="0"/>
              <w:rPr>
                <w:sz w:val="2"/>
                <w:szCs w:val="2"/>
                <w:color w:val="auto"/>
              </w:rPr>
            </w:pPr>
          </w:p>
        </w:tc>
      </w:tr>
      <w:tr>
        <w:trPr>
          <w:trHeight w:val="169"/>
        </w:trPr>
        <w:tc>
          <w:tcPr>
            <w:tcW w:w="920" w:type="dxa"/>
            <w:vAlign w:val="bottom"/>
          </w:tcPr>
          <w:p>
            <w:pPr>
              <w:spacing w:after="0"/>
              <w:rPr>
                <w:sz w:val="14"/>
                <w:szCs w:val="14"/>
                <w:color w:val="auto"/>
              </w:rPr>
            </w:pPr>
          </w:p>
        </w:tc>
        <w:tc>
          <w:tcPr>
            <w:tcW w:w="2620" w:type="dxa"/>
            <w:vAlign w:val="bottom"/>
            <w:gridSpan w:val="7"/>
          </w:tcPr>
          <w:p>
            <w:pPr>
              <w:spacing w:after="0" w:line="162" w:lineRule="exact"/>
              <w:rPr>
                <w:sz w:val="20"/>
                <w:szCs w:val="20"/>
                <w:color w:val="auto"/>
              </w:rPr>
            </w:pPr>
            <w:r>
              <w:rPr>
                <w:rFonts w:ascii="Times New Roman" w:cs="Times New Roman" w:eastAsia="Times New Roman" w:hAnsi="Times New Roman"/>
                <w:sz w:val="16"/>
                <w:szCs w:val="16"/>
                <w:color w:val="0000FF"/>
              </w:rPr>
              <w:t>Signatures</w:t>
            </w:r>
          </w:p>
        </w:tc>
        <w:tc>
          <w:tcPr>
            <w:tcW w:w="6600" w:type="dxa"/>
            <w:vAlign w:val="bottom"/>
            <w:gridSpan w:val="16"/>
          </w:tcPr>
          <w:p>
            <w:pPr>
              <w:spacing w:after="0"/>
              <w:rPr>
                <w:sz w:val="14"/>
                <w:szCs w:val="14"/>
                <w:color w:val="auto"/>
              </w:rPr>
            </w:pPr>
          </w:p>
        </w:tc>
        <w:tc>
          <w:tcPr>
            <w:tcW w:w="1100" w:type="dxa"/>
            <w:vAlign w:val="bottom"/>
            <w:gridSpan w:val="3"/>
          </w:tcPr>
          <w:p>
            <w:pPr>
              <w:spacing w:after="0" w:line="162" w:lineRule="exact"/>
              <w:rPr>
                <w:sz w:val="20"/>
                <w:szCs w:val="20"/>
                <w:color w:val="auto"/>
              </w:rPr>
            </w:pPr>
            <w:r>
              <w:rPr>
                <w:rFonts w:ascii="Times New Roman" w:cs="Times New Roman" w:eastAsia="Times New Roman" w:hAnsi="Times New Roman"/>
                <w:sz w:val="16"/>
                <w:szCs w:val="16"/>
                <w:color w:val="0000FF"/>
              </w:rPr>
              <w:t>PAGE 24</w:t>
            </w:r>
          </w:p>
        </w:tc>
      </w:tr>
      <w:tr>
        <w:trPr>
          <w:trHeight w:val="189"/>
        </w:trPr>
        <w:tc>
          <w:tcPr>
            <w:tcW w:w="920" w:type="dxa"/>
            <w:vAlign w:val="bottom"/>
            <w:shd w:val="clear" w:color="auto" w:fill="CCEEFF"/>
          </w:tcPr>
          <w:p>
            <w:pPr>
              <w:spacing w:after="0"/>
              <w:rPr>
                <w:sz w:val="16"/>
                <w:szCs w:val="16"/>
                <w:color w:val="auto"/>
              </w:rPr>
            </w:pPr>
          </w:p>
        </w:tc>
        <w:tc>
          <w:tcPr>
            <w:tcW w:w="58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940" w:type="dxa"/>
            <w:vAlign w:val="bottom"/>
            <w:tcBorders>
              <w:right w:val="single" w:sz="8" w:color="CCEEFF"/>
            </w:tcBorders>
            <w:shd w:val="clear" w:color="auto" w:fill="CCEEFF"/>
          </w:tcPr>
          <w:p>
            <w:pPr>
              <w:spacing w:after="0"/>
              <w:rPr>
                <w:sz w:val="16"/>
                <w:szCs w:val="16"/>
                <w:color w:val="auto"/>
              </w:rPr>
            </w:pPr>
          </w:p>
        </w:tc>
        <w:tc>
          <w:tcPr>
            <w:tcW w:w="52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left w:val="single" w:sz="8" w:color="CCEEFF"/>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r>
      <w:tr>
        <w:trPr>
          <w:trHeight w:val="189"/>
        </w:trPr>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380" w:type="dxa"/>
            <w:vAlign w:val="bottom"/>
            <w:gridSpan w:val="17"/>
          </w:tcPr>
          <w:p>
            <w:pPr>
              <w:ind w:left="420"/>
              <w:spacing w:after="0" w:line="189" w:lineRule="exact"/>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62"/>
        </w:trPr>
        <w:tc>
          <w:tcPr>
            <w:tcW w:w="920" w:type="dxa"/>
            <w:vAlign w:val="bottom"/>
            <w:shd w:val="clear" w:color="auto" w:fill="CCEEFF"/>
          </w:tcPr>
          <w:p>
            <w:pPr>
              <w:spacing w:after="0"/>
              <w:rPr>
                <w:sz w:val="14"/>
                <w:szCs w:val="14"/>
                <w:color w:val="auto"/>
              </w:rPr>
            </w:pPr>
          </w:p>
        </w:tc>
        <w:tc>
          <w:tcPr>
            <w:tcW w:w="5560" w:type="dxa"/>
            <w:vAlign w:val="bottom"/>
            <w:gridSpan w:val="17"/>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0000FF"/>
              </w:rPr>
              <w:t>Report of Independent Registered Public Accounting Firm (PCAOB ID Number 248)</w:t>
            </w:r>
          </w:p>
        </w:tc>
        <w:tc>
          <w:tcPr>
            <w:tcW w:w="3660" w:type="dxa"/>
            <w:vAlign w:val="bottom"/>
            <w:tcBorders>
              <w:right w:val="single" w:sz="8" w:color="CCEEFF"/>
            </w:tcBorders>
            <w:gridSpan w:val="6"/>
            <w:shd w:val="clear" w:color="auto" w:fill="CCEEFF"/>
          </w:tcPr>
          <w:p>
            <w:pPr>
              <w:spacing w:after="0"/>
              <w:rPr>
                <w:sz w:val="14"/>
                <w:szCs w:val="14"/>
                <w:color w:val="auto"/>
              </w:rPr>
            </w:pPr>
          </w:p>
        </w:tc>
        <w:tc>
          <w:tcPr>
            <w:tcW w:w="1100" w:type="dxa"/>
            <w:vAlign w:val="bottom"/>
            <w:gridSpan w:val="3"/>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0000FF"/>
              </w:rPr>
              <w:t>PAGE 26</w:t>
            </w:r>
          </w:p>
        </w:tc>
      </w:tr>
      <w:tr>
        <w:trPr>
          <w:trHeight w:val="27"/>
        </w:trPr>
        <w:tc>
          <w:tcPr>
            <w:tcW w:w="920" w:type="dxa"/>
            <w:vAlign w:val="bottom"/>
            <w:shd w:val="clear" w:color="auto" w:fill="CCEE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4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8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6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940" w:type="dxa"/>
            <w:vAlign w:val="bottom"/>
            <w:tcBorders>
              <w:right w:val="single" w:sz="8" w:color="CCEEFF"/>
            </w:tcBorders>
            <w:shd w:val="clear" w:color="auto" w:fill="CCEE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500" w:type="dxa"/>
            <w:vAlign w:val="bottom"/>
            <w:shd w:val="clear" w:color="auto" w:fill="CCEEFF"/>
          </w:tcPr>
          <w:p>
            <w:pPr>
              <w:spacing w:after="0"/>
              <w:rPr>
                <w:sz w:val="2"/>
                <w:szCs w:val="2"/>
                <w:color w:val="auto"/>
              </w:rPr>
            </w:pPr>
          </w:p>
        </w:tc>
      </w:tr>
      <w:tr>
        <w:trPr>
          <w:trHeight w:val="162"/>
        </w:trPr>
        <w:tc>
          <w:tcPr>
            <w:tcW w:w="920" w:type="dxa"/>
            <w:vAlign w:val="bottom"/>
          </w:tcPr>
          <w:p>
            <w:pPr>
              <w:spacing w:after="0"/>
              <w:rPr>
                <w:sz w:val="14"/>
                <w:szCs w:val="14"/>
                <w:color w:val="auto"/>
              </w:rPr>
            </w:pPr>
          </w:p>
        </w:tc>
        <w:tc>
          <w:tcPr>
            <w:tcW w:w="5820" w:type="dxa"/>
            <w:vAlign w:val="bottom"/>
            <w:gridSpan w:val="18"/>
          </w:tcPr>
          <w:p>
            <w:pPr>
              <w:spacing w:after="0" w:line="162" w:lineRule="exact"/>
              <w:rPr>
                <w:sz w:val="20"/>
                <w:szCs w:val="20"/>
                <w:color w:val="auto"/>
              </w:rPr>
            </w:pPr>
            <w:r>
              <w:rPr>
                <w:rFonts w:ascii="Times New Roman" w:cs="Times New Roman" w:eastAsia="Times New Roman" w:hAnsi="Times New Roman"/>
                <w:sz w:val="16"/>
                <w:szCs w:val="16"/>
                <w:color w:val="0000FF"/>
              </w:rPr>
              <w:t>Consolidated Statements of Operations for the Years Ended December 31, 2022 and 2021</w:t>
            </w:r>
          </w:p>
        </w:tc>
        <w:tc>
          <w:tcPr>
            <w:tcW w:w="3400" w:type="dxa"/>
            <w:vAlign w:val="bottom"/>
            <w:gridSpan w:val="5"/>
          </w:tcPr>
          <w:p>
            <w:pPr>
              <w:spacing w:after="0"/>
              <w:rPr>
                <w:sz w:val="14"/>
                <w:szCs w:val="14"/>
                <w:color w:val="auto"/>
              </w:rPr>
            </w:pPr>
          </w:p>
        </w:tc>
        <w:tc>
          <w:tcPr>
            <w:tcW w:w="1100" w:type="dxa"/>
            <w:vAlign w:val="bottom"/>
            <w:gridSpan w:val="3"/>
          </w:tcPr>
          <w:p>
            <w:pPr>
              <w:spacing w:after="0" w:line="162" w:lineRule="exact"/>
              <w:rPr>
                <w:sz w:val="20"/>
                <w:szCs w:val="20"/>
                <w:color w:val="auto"/>
              </w:rPr>
            </w:pPr>
            <w:r>
              <w:rPr>
                <w:rFonts w:ascii="Times New Roman" w:cs="Times New Roman" w:eastAsia="Times New Roman" w:hAnsi="Times New Roman"/>
                <w:sz w:val="16"/>
                <w:szCs w:val="16"/>
                <w:color w:val="0000FF"/>
              </w:rPr>
              <w:t>PAGE 27</w:t>
            </w:r>
          </w:p>
        </w:tc>
      </w:tr>
      <w:tr>
        <w:trPr>
          <w:trHeight w:val="27"/>
        </w:trPr>
        <w:tc>
          <w:tcPr>
            <w:tcW w:w="92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4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8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500" w:type="dxa"/>
            <w:vAlign w:val="bottom"/>
          </w:tcPr>
          <w:p>
            <w:pPr>
              <w:spacing w:after="0"/>
              <w:rPr>
                <w:sz w:val="2"/>
                <w:szCs w:val="2"/>
                <w:color w:val="auto"/>
              </w:rPr>
            </w:pPr>
          </w:p>
        </w:tc>
      </w:tr>
      <w:tr>
        <w:trPr>
          <w:trHeight w:val="162"/>
        </w:trPr>
        <w:tc>
          <w:tcPr>
            <w:tcW w:w="920" w:type="dxa"/>
            <w:vAlign w:val="bottom"/>
            <w:shd w:val="clear" w:color="auto" w:fill="CCEEFF"/>
          </w:tcPr>
          <w:p>
            <w:pPr>
              <w:spacing w:after="0"/>
              <w:rPr>
                <w:sz w:val="14"/>
                <w:szCs w:val="14"/>
                <w:color w:val="auto"/>
              </w:rPr>
            </w:pPr>
          </w:p>
        </w:tc>
        <w:tc>
          <w:tcPr>
            <w:tcW w:w="9220" w:type="dxa"/>
            <w:vAlign w:val="bottom"/>
            <w:tcBorders>
              <w:right w:val="single" w:sz="8" w:color="CCEEFF"/>
            </w:tcBorders>
            <w:gridSpan w:val="23"/>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0000FF"/>
              </w:rPr>
              <w:t>Consolidated Statements of Comprehensive Income (Loss) for the Years Ended December 31, 2022 and 2021</w:t>
            </w:r>
          </w:p>
        </w:tc>
        <w:tc>
          <w:tcPr>
            <w:tcW w:w="1100" w:type="dxa"/>
            <w:vAlign w:val="bottom"/>
            <w:gridSpan w:val="3"/>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0000FF"/>
              </w:rPr>
              <w:t>PAGE 28</w:t>
            </w:r>
          </w:p>
        </w:tc>
      </w:tr>
      <w:tr>
        <w:trPr>
          <w:trHeight w:val="27"/>
        </w:trPr>
        <w:tc>
          <w:tcPr>
            <w:tcW w:w="920" w:type="dxa"/>
            <w:vAlign w:val="bottom"/>
            <w:shd w:val="clear" w:color="auto" w:fill="CCEE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4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8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66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940" w:type="dxa"/>
            <w:vAlign w:val="bottom"/>
            <w:tcBorders>
              <w:right w:val="single" w:sz="8" w:color="CCEEFF"/>
            </w:tcBorders>
            <w:shd w:val="clear" w:color="auto" w:fill="CCEE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500" w:type="dxa"/>
            <w:vAlign w:val="bottom"/>
            <w:shd w:val="clear" w:color="auto" w:fill="CCEEFF"/>
          </w:tcPr>
          <w:p>
            <w:pPr>
              <w:spacing w:after="0"/>
              <w:rPr>
                <w:sz w:val="2"/>
                <w:szCs w:val="2"/>
                <w:color w:val="auto"/>
              </w:rPr>
            </w:pPr>
          </w:p>
        </w:tc>
      </w:tr>
      <w:tr>
        <w:trPr>
          <w:trHeight w:val="162"/>
        </w:trPr>
        <w:tc>
          <w:tcPr>
            <w:tcW w:w="920" w:type="dxa"/>
            <w:vAlign w:val="bottom"/>
          </w:tcPr>
          <w:p>
            <w:pPr>
              <w:spacing w:after="0"/>
              <w:rPr>
                <w:sz w:val="14"/>
                <w:szCs w:val="14"/>
                <w:color w:val="auto"/>
              </w:rPr>
            </w:pPr>
          </w:p>
        </w:tc>
        <w:tc>
          <w:tcPr>
            <w:tcW w:w="7100" w:type="dxa"/>
            <w:vAlign w:val="bottom"/>
            <w:gridSpan w:val="21"/>
          </w:tcPr>
          <w:p>
            <w:pPr>
              <w:spacing w:after="0" w:line="162" w:lineRule="exact"/>
              <w:rPr>
                <w:sz w:val="20"/>
                <w:szCs w:val="20"/>
                <w:color w:val="auto"/>
              </w:rPr>
            </w:pPr>
            <w:r>
              <w:rPr>
                <w:rFonts w:ascii="Times New Roman" w:cs="Times New Roman" w:eastAsia="Times New Roman" w:hAnsi="Times New Roman"/>
                <w:sz w:val="16"/>
                <w:szCs w:val="16"/>
                <w:color w:val="0000FF"/>
              </w:rPr>
              <w:t>Consolidated Balance Sheets as of December 31, 2022 and 2021</w:t>
            </w:r>
          </w:p>
        </w:tc>
        <w:tc>
          <w:tcPr>
            <w:tcW w:w="2120" w:type="dxa"/>
            <w:vAlign w:val="bottom"/>
            <w:gridSpan w:val="2"/>
          </w:tcPr>
          <w:p>
            <w:pPr>
              <w:spacing w:after="0"/>
              <w:rPr>
                <w:sz w:val="14"/>
                <w:szCs w:val="14"/>
                <w:color w:val="auto"/>
              </w:rPr>
            </w:pPr>
          </w:p>
        </w:tc>
        <w:tc>
          <w:tcPr>
            <w:tcW w:w="1100" w:type="dxa"/>
            <w:vAlign w:val="bottom"/>
            <w:gridSpan w:val="3"/>
          </w:tcPr>
          <w:p>
            <w:pPr>
              <w:spacing w:after="0" w:line="162" w:lineRule="exact"/>
              <w:rPr>
                <w:sz w:val="20"/>
                <w:szCs w:val="20"/>
                <w:color w:val="auto"/>
              </w:rPr>
            </w:pPr>
            <w:r>
              <w:rPr>
                <w:rFonts w:ascii="Times New Roman" w:cs="Times New Roman" w:eastAsia="Times New Roman" w:hAnsi="Times New Roman"/>
                <w:sz w:val="16"/>
                <w:szCs w:val="16"/>
                <w:color w:val="0000FF"/>
              </w:rPr>
              <w:t>PAGE 29</w:t>
            </w:r>
          </w:p>
        </w:tc>
      </w:tr>
      <w:tr>
        <w:trPr>
          <w:trHeight w:val="27"/>
        </w:trPr>
        <w:tc>
          <w:tcPr>
            <w:tcW w:w="92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4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8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500" w:type="dxa"/>
            <w:vAlign w:val="bottom"/>
          </w:tcPr>
          <w:p>
            <w:pPr>
              <w:spacing w:after="0"/>
              <w:rPr>
                <w:sz w:val="2"/>
                <w:szCs w:val="2"/>
                <w:color w:val="auto"/>
              </w:rPr>
            </w:pPr>
          </w:p>
        </w:tc>
      </w:tr>
      <w:tr>
        <w:trPr>
          <w:trHeight w:val="162"/>
        </w:trPr>
        <w:tc>
          <w:tcPr>
            <w:tcW w:w="920" w:type="dxa"/>
            <w:vAlign w:val="bottom"/>
            <w:shd w:val="clear" w:color="auto" w:fill="CCEEFF"/>
          </w:tcPr>
          <w:p>
            <w:pPr>
              <w:spacing w:after="0"/>
              <w:rPr>
                <w:sz w:val="14"/>
                <w:szCs w:val="14"/>
                <w:color w:val="auto"/>
              </w:rPr>
            </w:pPr>
          </w:p>
        </w:tc>
        <w:tc>
          <w:tcPr>
            <w:tcW w:w="6480" w:type="dxa"/>
            <w:vAlign w:val="bottom"/>
            <w:gridSpan w:val="19"/>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0000FF"/>
              </w:rPr>
              <w:t>Consolidated Statements of Shareholders’ Equity for the Years Ended December 31, 2022 and 2021</w:t>
            </w:r>
          </w:p>
        </w:tc>
        <w:tc>
          <w:tcPr>
            <w:tcW w:w="2740" w:type="dxa"/>
            <w:vAlign w:val="bottom"/>
            <w:tcBorders>
              <w:right w:val="single" w:sz="8" w:color="CCEEFF"/>
            </w:tcBorders>
            <w:gridSpan w:val="4"/>
            <w:shd w:val="clear" w:color="auto" w:fill="CCEEFF"/>
          </w:tcPr>
          <w:p>
            <w:pPr>
              <w:spacing w:after="0"/>
              <w:rPr>
                <w:sz w:val="14"/>
                <w:szCs w:val="14"/>
                <w:color w:val="auto"/>
              </w:rPr>
            </w:pPr>
          </w:p>
        </w:tc>
        <w:tc>
          <w:tcPr>
            <w:tcW w:w="1100" w:type="dxa"/>
            <w:vAlign w:val="bottom"/>
            <w:gridSpan w:val="3"/>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0000FF"/>
              </w:rPr>
              <w:t>PAGE 30</w:t>
            </w:r>
          </w:p>
        </w:tc>
      </w:tr>
      <w:tr>
        <w:trPr>
          <w:trHeight w:val="27"/>
        </w:trPr>
        <w:tc>
          <w:tcPr>
            <w:tcW w:w="920" w:type="dxa"/>
            <w:vAlign w:val="bottom"/>
            <w:shd w:val="clear" w:color="auto" w:fill="CCEE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4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8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66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940" w:type="dxa"/>
            <w:vAlign w:val="bottom"/>
            <w:tcBorders>
              <w:right w:val="single" w:sz="8" w:color="CCEEFF"/>
            </w:tcBorders>
            <w:shd w:val="clear" w:color="auto" w:fill="CCEE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500" w:type="dxa"/>
            <w:vAlign w:val="bottom"/>
            <w:shd w:val="clear" w:color="auto" w:fill="CCEEFF"/>
          </w:tcPr>
          <w:p>
            <w:pPr>
              <w:spacing w:after="0"/>
              <w:rPr>
                <w:sz w:val="2"/>
                <w:szCs w:val="2"/>
                <w:color w:val="auto"/>
              </w:rPr>
            </w:pPr>
          </w:p>
        </w:tc>
      </w:tr>
      <w:tr>
        <w:trPr>
          <w:trHeight w:val="162"/>
        </w:trPr>
        <w:tc>
          <w:tcPr>
            <w:tcW w:w="920" w:type="dxa"/>
            <w:vAlign w:val="bottom"/>
          </w:tcPr>
          <w:p>
            <w:pPr>
              <w:spacing w:after="0"/>
              <w:rPr>
                <w:sz w:val="14"/>
                <w:szCs w:val="14"/>
                <w:color w:val="auto"/>
              </w:rPr>
            </w:pPr>
          </w:p>
        </w:tc>
        <w:tc>
          <w:tcPr>
            <w:tcW w:w="6480" w:type="dxa"/>
            <w:vAlign w:val="bottom"/>
            <w:gridSpan w:val="19"/>
          </w:tcPr>
          <w:p>
            <w:pPr>
              <w:spacing w:after="0" w:line="162" w:lineRule="exact"/>
              <w:rPr>
                <w:sz w:val="20"/>
                <w:szCs w:val="20"/>
                <w:color w:val="auto"/>
              </w:rPr>
            </w:pPr>
            <w:r>
              <w:rPr>
                <w:rFonts w:ascii="Times New Roman" w:cs="Times New Roman" w:eastAsia="Times New Roman" w:hAnsi="Times New Roman"/>
                <w:sz w:val="16"/>
                <w:szCs w:val="16"/>
                <w:color w:val="0000FF"/>
              </w:rPr>
              <w:t>Consolidated Statements of Cash Flows for the Years Ended December 31, 2022 and 2021</w:t>
            </w:r>
          </w:p>
        </w:tc>
        <w:tc>
          <w:tcPr>
            <w:tcW w:w="2740" w:type="dxa"/>
            <w:vAlign w:val="bottom"/>
            <w:gridSpan w:val="4"/>
          </w:tcPr>
          <w:p>
            <w:pPr>
              <w:spacing w:after="0"/>
              <w:rPr>
                <w:sz w:val="14"/>
                <w:szCs w:val="14"/>
                <w:color w:val="auto"/>
              </w:rPr>
            </w:pPr>
          </w:p>
        </w:tc>
        <w:tc>
          <w:tcPr>
            <w:tcW w:w="1100" w:type="dxa"/>
            <w:vAlign w:val="bottom"/>
            <w:gridSpan w:val="3"/>
          </w:tcPr>
          <w:p>
            <w:pPr>
              <w:spacing w:after="0" w:line="162" w:lineRule="exact"/>
              <w:rPr>
                <w:sz w:val="20"/>
                <w:szCs w:val="20"/>
                <w:color w:val="auto"/>
              </w:rPr>
            </w:pPr>
            <w:r>
              <w:rPr>
                <w:rFonts w:ascii="Times New Roman" w:cs="Times New Roman" w:eastAsia="Times New Roman" w:hAnsi="Times New Roman"/>
                <w:sz w:val="16"/>
                <w:szCs w:val="16"/>
                <w:color w:val="0000FF"/>
              </w:rPr>
              <w:t>PAGE 31</w:t>
            </w:r>
          </w:p>
        </w:tc>
      </w:tr>
      <w:tr>
        <w:trPr>
          <w:trHeight w:val="27"/>
        </w:trPr>
        <w:tc>
          <w:tcPr>
            <w:tcW w:w="92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4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8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660" w:type="dxa"/>
            <w:vAlign w:val="bottom"/>
            <w:tcBorders>
              <w:left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500" w:type="dxa"/>
            <w:vAlign w:val="bottom"/>
          </w:tcPr>
          <w:p>
            <w:pPr>
              <w:spacing w:after="0"/>
              <w:rPr>
                <w:sz w:val="2"/>
                <w:szCs w:val="2"/>
                <w:color w:val="auto"/>
              </w:rPr>
            </w:pPr>
          </w:p>
        </w:tc>
      </w:tr>
      <w:tr>
        <w:trPr>
          <w:trHeight w:val="162"/>
        </w:trPr>
        <w:tc>
          <w:tcPr>
            <w:tcW w:w="920" w:type="dxa"/>
            <w:vAlign w:val="bottom"/>
            <w:shd w:val="clear" w:color="auto" w:fill="CCEEFF"/>
          </w:tcPr>
          <w:p>
            <w:pPr>
              <w:spacing w:after="0"/>
              <w:rPr>
                <w:sz w:val="14"/>
                <w:szCs w:val="14"/>
                <w:color w:val="auto"/>
              </w:rPr>
            </w:pPr>
          </w:p>
        </w:tc>
        <w:tc>
          <w:tcPr>
            <w:tcW w:w="3080" w:type="dxa"/>
            <w:vAlign w:val="bottom"/>
            <w:gridSpan w:val="9"/>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0000FF"/>
              </w:rPr>
              <w:t>Notes to the Consolidated Financial Statements</w:t>
            </w:r>
          </w:p>
        </w:tc>
        <w:tc>
          <w:tcPr>
            <w:tcW w:w="2740" w:type="dxa"/>
            <w:vAlign w:val="bottom"/>
            <w:gridSpan w:val="9"/>
            <w:shd w:val="clear" w:color="auto" w:fill="CCEEFF"/>
          </w:tcPr>
          <w:p>
            <w:pPr>
              <w:spacing w:after="0"/>
              <w:rPr>
                <w:sz w:val="14"/>
                <w:szCs w:val="14"/>
                <w:color w:val="auto"/>
              </w:rPr>
            </w:pPr>
          </w:p>
        </w:tc>
        <w:tc>
          <w:tcPr>
            <w:tcW w:w="3400" w:type="dxa"/>
            <w:vAlign w:val="bottom"/>
            <w:tcBorders>
              <w:left w:val="single" w:sz="8" w:color="CCEEFF"/>
              <w:right w:val="single" w:sz="8" w:color="CCEEFF"/>
            </w:tcBorders>
            <w:gridSpan w:val="5"/>
            <w:shd w:val="clear" w:color="auto" w:fill="CCEEFF"/>
          </w:tcPr>
          <w:p>
            <w:pPr>
              <w:spacing w:after="0"/>
              <w:rPr>
                <w:sz w:val="14"/>
                <w:szCs w:val="14"/>
                <w:color w:val="auto"/>
              </w:rPr>
            </w:pPr>
          </w:p>
        </w:tc>
        <w:tc>
          <w:tcPr>
            <w:tcW w:w="1100" w:type="dxa"/>
            <w:vAlign w:val="bottom"/>
            <w:gridSpan w:val="3"/>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0000FF"/>
              </w:rPr>
              <w:t>PAGE 32</w:t>
            </w:r>
          </w:p>
        </w:tc>
      </w:tr>
      <w:tr>
        <w:trPr>
          <w:trHeight w:val="27"/>
        </w:trPr>
        <w:tc>
          <w:tcPr>
            <w:tcW w:w="920" w:type="dxa"/>
            <w:vAlign w:val="bottom"/>
            <w:shd w:val="clear" w:color="auto" w:fill="CCEE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4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8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6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940" w:type="dxa"/>
            <w:vAlign w:val="bottom"/>
            <w:tcBorders>
              <w:right w:val="single" w:sz="8" w:color="CCEEFF"/>
            </w:tcBorders>
            <w:shd w:val="clear" w:color="auto" w:fill="CCEE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5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DallasNews Corporation 2022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PART I</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189"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Statements in this Annual Report on Form 10-K concerning DallasNews Corporation’s (the “Company”) business outlook or future economic performance, anticipated profitability, revenues, expenses, cash balance, dividends, capital expenditures, investments, dispositions, impairments, business initiatives, acquisitions, pension plan contributions and obligations, real estate sales, working capital, future financings and other financial and non-financial items that are not historical facts are “forward-looking statements” as the term is defined under applicable federal securities laws. Words such as “anticipate,” “assume,” “believe,” “can,” “could,” “estimate,” “forecast,” “intend,” “expect,” “may,” “project,” “plan,” “seek,” “should,” “target,” “will,” “would” and their opposites and similar expressions are intended to identify forward-looking statements. Forward-looking statements are subject to risks, uncertainties and other factors that could cause actual results to differ materially from those statements. Such risks, trends and uncertainties are, in most instances, beyond the Company’s control, and include changes in advertising demand and other economic conditions; consumers’ tastes; newsprint and distribution prices; program costs; the success of the Company’s digital strategy; labor relations; cybersecurity incidents; technological obsolescence; and the current and future impacts of the COVID-19 pandemic. Among other risks, there can be no guarantee that the board of directors will approve a quarterly dividend in future quarters or that our financial projections are accurate. Forward-looking statements, which are as of the date of this filing, are not updated to reflect events or circumstances after the date of the statement.</w:t>
      </w:r>
    </w:p>
    <w:p>
      <w:pPr>
        <w:spacing w:after="0" w:line="16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All dollar amounts presented herein the Annual Report on Form 10-K, except share and per share amounts, are presented in thousands, unless the context indicates otherwise.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89"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8"/>
          <w:szCs w:val="18"/>
          <w:color w:val="auto"/>
        </w:rPr>
        <w:t xml:space="preserve">DallasNews Corporation, formerly A. H. Belo Corporation, and its subsidiaries are referred to collectively herein as “DallasNews” or the “Company.” DallasNews was formed in February 2008 through a spin-off from its former parent company and is registered on The Nasdaq Stock Market LLC (Nasdaq trading symbol: DALN). DallasNews is the Dallas-based holding company of </w:t>
      </w:r>
      <w:r>
        <w:rPr>
          <w:rFonts w:ascii="Times New Roman" w:cs="Times New Roman" w:eastAsia="Times New Roman" w:hAnsi="Times New Roman"/>
          <w:sz w:val="18"/>
          <w:szCs w:val="18"/>
          <w:i w:val="1"/>
          <w:iCs w:val="1"/>
          <w:color w:val="auto"/>
        </w:rPr>
        <w:t>The Dallas Morning News</w:t>
      </w:r>
      <w:r>
        <w:rPr>
          <w:rFonts w:ascii="Times New Roman" w:cs="Times New Roman" w:eastAsia="Times New Roman" w:hAnsi="Times New Roman"/>
          <w:sz w:val="18"/>
          <w:szCs w:val="18"/>
          <w:color w:val="auto"/>
        </w:rPr>
        <w:t xml:space="preserve"> and Medium Giant.</w:t>
      </w:r>
    </w:p>
    <w:p>
      <w:pPr>
        <w:spacing w:after="0" w:line="157"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The Dallas Morning News </w:t>
      </w:r>
      <w:r>
        <w:rPr>
          <w:rFonts w:ascii="Times New Roman" w:cs="Times New Roman" w:eastAsia="Times New Roman" w:hAnsi="Times New Roman"/>
          <w:sz w:val="18"/>
          <w:szCs w:val="18"/>
          <w:color w:val="auto"/>
        </w:rPr>
        <w:t>is Texas’ leading daily newspaper with a strong journalistic reputation, intense regional focus and close community ties.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has won nine Pulitzer Prizes and is the oldest continuously operated business in Texas, dating back to 1842.</w:t>
      </w:r>
    </w:p>
    <w:p>
      <w:pPr>
        <w:spacing w:after="0" w:line="12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addition, the Company has a full-service agency, Medium Giant, with capabilities including strategy, creative and media management with a focus on strategic and digital marketing, and data intelligence that provide a measurable return on investment to its clients.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Overview</w:t>
      </w:r>
    </w:p>
    <w:p>
      <w:pPr>
        <w:spacing w:after="0" w:line="175"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8"/>
          <w:szCs w:val="18"/>
          <w:color w:val="auto"/>
        </w:rPr>
        <w:t>The Company’s goal is to create value for investors by being the premier provider of relevant and original local journalism in North Texas so citizens can make informed choices about their lives and the life of the communities in which they live. This commitment to excellence in journalism attracts and retains subscribers to the print edition, the digital site, and applications.</w:t>
      </w:r>
    </w:p>
    <w:p>
      <w:pPr>
        <w:spacing w:after="0" w:line="15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print media industry has encountered continuous declines in revenue primarily due to the secular shift of readers and advertisers to digital platforms. The Company has sought to limit its exposure to these industry risks through greater development of its digital platforms for delivery of news and advertising, and leveraging its brand and personnel to enhance its media agency solutions. However, these improvements may not result in a sufficient increase in revenue to offset the declines the Company is experiencing in its traditional print media business.</w:t>
      </w:r>
    </w:p>
    <w:p>
      <w:pPr>
        <w:spacing w:after="0" w:line="15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The Company operates </w:t>
      </w:r>
      <w:r>
        <w:rPr>
          <w:rFonts w:ascii="Times New Roman" w:cs="Times New Roman" w:eastAsia="Times New Roman" w:hAnsi="Times New Roman"/>
          <w:sz w:val="18"/>
          <w:szCs w:val="18"/>
          <w:i w:val="1"/>
          <w:iCs w:val="1"/>
          <w:color w:val="auto"/>
        </w:rPr>
        <w:t>The Dallas Morning News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dallasnews.com</w:t>
      </w:r>
      <w:r>
        <w:rPr>
          <w:rFonts w:ascii="Times New Roman" w:cs="Times New Roman" w:eastAsia="Times New Roman" w:hAnsi="Times New Roman"/>
          <w:sz w:val="18"/>
          <w:szCs w:val="18"/>
          <w:color w:val="auto"/>
        </w:rPr>
        <w:t>), Texas’ leading newspaper and various niche publications targeting specific audiences. These operations generate revenue from sales of advertising within the Company’s newspaper and digital platforms, subscriptions and retail sales of its newspapers, commercial printing and distribution services primarily related to national newspapers, and preprint advertising.</w:t>
      </w:r>
    </w:p>
    <w:p>
      <w:pPr>
        <w:spacing w:after="0" w:line="1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The Dallas Morning News’ </w:t>
      </w:r>
      <w:r>
        <w:rPr>
          <w:rFonts w:ascii="Times New Roman" w:cs="Times New Roman" w:eastAsia="Times New Roman" w:hAnsi="Times New Roman"/>
          <w:sz w:val="18"/>
          <w:szCs w:val="18"/>
          <w:color w:val="auto"/>
        </w:rPr>
        <w:t>first edition was published on October 1, 1885.</w:t>
      </w:r>
      <w:r>
        <w:rPr>
          <w:rFonts w:ascii="Times New Roman" w:cs="Times New Roman" w:eastAsia="Times New Roman" w:hAnsi="Times New Roman"/>
          <w:sz w:val="18"/>
          <w:szCs w:val="18"/>
          <w:i w:val="1"/>
          <w:iCs w:val="1"/>
          <w:color w:val="auto"/>
        </w:rPr>
        <w:t xml:space="preserve"> The News </w:t>
      </w:r>
      <w:r>
        <w:rPr>
          <w:rFonts w:ascii="Times New Roman" w:cs="Times New Roman" w:eastAsia="Times New Roman" w:hAnsi="Times New Roman"/>
          <w:sz w:val="18"/>
          <w:szCs w:val="18"/>
          <w:color w:val="auto"/>
        </w:rPr>
        <w:t>is one of the leading metropolitan newspapers in the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newspaper is distributed primarily in Dallas County and five surrounding counties. This coverage area represents one of the most populous and fastest growing metropolitan areas in the country. </w:t>
      </w:r>
      <w:r>
        <w:rPr>
          <w:rFonts w:ascii="Times New Roman" w:cs="Times New Roman" w:eastAsia="Times New Roman" w:hAnsi="Times New Roman"/>
          <w:sz w:val="18"/>
          <w:szCs w:val="18"/>
          <w:i w:val="1"/>
          <w:iCs w:val="1"/>
          <w:color w:val="auto"/>
        </w:rPr>
        <w:t>The News</w:t>
      </w:r>
      <w:r>
        <w:rPr>
          <w:rFonts w:ascii="Times New Roman" w:cs="Times New Roman" w:eastAsia="Times New Roman" w:hAnsi="Times New Roman"/>
          <w:sz w:val="18"/>
          <w:szCs w:val="18"/>
          <w:color w:val="auto"/>
        </w:rPr>
        <w:t xml:space="preserve"> has been awarded nine Pulitzer Prizes for news reporting, editorial writing and photography. </w:t>
      </w:r>
      <w:r>
        <w:rPr>
          <w:rFonts w:ascii="Times New Roman" w:cs="Times New Roman" w:eastAsia="Times New Roman" w:hAnsi="Times New Roman"/>
          <w:sz w:val="18"/>
          <w:szCs w:val="18"/>
          <w:i w:val="1"/>
          <w:iCs w:val="1"/>
          <w:color w:val="auto"/>
        </w:rPr>
        <w:t>The Ne</w:t>
      </w:r>
      <w:r>
        <w:rPr>
          <w:rFonts w:ascii="Times New Roman" w:cs="Times New Roman" w:eastAsia="Times New Roman" w:hAnsi="Times New Roman"/>
          <w:sz w:val="18"/>
          <w:szCs w:val="18"/>
          <w:color w:val="auto"/>
        </w:rPr>
        <w:t>ws also publishes</w:t>
      </w:r>
      <w:r>
        <w:rPr>
          <w:rFonts w:ascii="Times New Roman" w:cs="Times New Roman" w:eastAsia="Times New Roman" w:hAnsi="Times New Roman"/>
          <w:sz w:val="18"/>
          <w:szCs w:val="18"/>
          <w:i w:val="1"/>
          <w:iCs w:val="1"/>
          <w:color w:val="auto"/>
        </w:rPr>
        <w:t xml:space="preserve"> Briefing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Al Dia</w:t>
      </w:r>
      <w:r>
        <w:rPr>
          <w:rFonts w:ascii="Times New Roman" w:cs="Times New Roman" w:eastAsia="Times New Roman" w:hAnsi="Times New Roman"/>
          <w:sz w:val="18"/>
          <w:szCs w:val="18"/>
          <w:color w:val="auto"/>
        </w:rPr>
        <w:t>, an award-winning Spanish-language newspaper, both distributed on Wednesdays at no charge to households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select coverage areas. Unless otherwise noted, the financial and operating results of all publications are reported as </w:t>
      </w:r>
      <w:r>
        <w:rPr>
          <w:rFonts w:ascii="Times New Roman" w:cs="Times New Roman" w:eastAsia="Times New Roman" w:hAnsi="Times New Roman"/>
          <w:sz w:val="18"/>
          <w:szCs w:val="18"/>
          <w:i w:val="1"/>
          <w:iCs w:val="1"/>
          <w:color w:val="auto"/>
        </w:rPr>
        <w:t>The Dallas Morning News</w:t>
      </w:r>
      <w:r>
        <w:rPr>
          <w:rFonts w:ascii="Times New Roman" w:cs="Times New Roman" w:eastAsia="Times New Roman" w:hAnsi="Times New Roman"/>
          <w:sz w:val="18"/>
          <w:szCs w:val="18"/>
          <w:color w:val="auto"/>
        </w:rPr>
        <w:t>.</w:t>
      </w:r>
    </w:p>
    <w:p>
      <w:pPr>
        <w:spacing w:after="0" w:line="87" w:lineRule="exact"/>
        <w:rPr>
          <w:sz w:val="20"/>
          <w:szCs w:val="20"/>
          <w:color w:val="auto"/>
        </w:rPr>
      </w:pPr>
    </w:p>
    <w:p>
      <w:pPr>
        <w:jc w:val="right"/>
        <w:spacing w:after="0"/>
        <w:tabs>
          <w:tab w:leader="none" w:pos="600" w:val="left"/>
        </w:tabs>
        <w:rPr>
          <w:sz w:val="20"/>
          <w:szCs w:val="20"/>
          <w:color w:val="auto"/>
        </w:rPr>
      </w:pPr>
      <w:r>
        <w:rPr>
          <w:rFonts w:ascii="Times New Roman" w:cs="Times New Roman" w:eastAsia="Times New Roman" w:hAnsi="Times New Roman"/>
          <w:sz w:val="18"/>
          <w:szCs w:val="18"/>
          <w:color w:val="auto"/>
        </w:rPr>
        <w:t>DallasNews Corporation 2022 Annual Report on Form 10-K</w:t>
      </w:r>
      <w:r>
        <w:rPr>
          <w:sz w:val="20"/>
          <w:szCs w:val="20"/>
          <w:color w:val="auto"/>
        </w:rPr>
        <w:tab/>
      </w:r>
      <w:r>
        <w:rPr>
          <w:rFonts w:ascii="Times New Roman" w:cs="Times New Roman" w:eastAsia="Times New Roman" w:hAnsi="Times New Roman"/>
          <w:sz w:val="17"/>
          <w:szCs w:val="17"/>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222222"/>
        </w:rPr>
        <w:t>Businesses producing and providing services within the print and newspaper industry have encountered significant declines in revenue as a result of increasing use of the internet for delivery of information. These businesses have been challenged to find alternative solutions to offset the loss of revenue. The majority of revenues within the newspaper industry were historically generated from display and classified advertisements followed by revenues from subscriptions and retail sales of newspapers. Revenues from subscriptions and retail sales of newspapers have experienced greater resilience as readers have been willing to pay higher prices for the product, which has substantially offset lower circulation volumes. The Company has faced ongoing revenue declines primarily in print advertising and expects these trends to continue. As a result the Company is moving to a more digital news format to offset some of its declines in print, specifically around advertising.</w:t>
      </w:r>
    </w:p>
    <w:p>
      <w:pPr>
        <w:spacing w:after="0" w:line="14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In addition to traditional print and digital advertising, the Company has a full-service agency, Medium Giant, with capabilities including strategy, creative and media management with a focus on strategic and digital marketing, and data intelligence that provide a measurable return on investment to its clients. Through the full-service capabilities, we are able to offer businesses comprehensive, strategic and creative marketing solutions which allow our clients to connect with their business, their brand and their audiences to drive growth. The Company has aligned management and its sales teams to provide a cross-functional integrated approach to maximize the development of these businesses. Digital marketing services are provided through the following service offerings:</w:t>
      </w:r>
    </w:p>
    <w:p>
      <w:pPr>
        <w:spacing w:after="0" w:line="158" w:lineRule="exact"/>
        <w:rPr>
          <w:sz w:val="20"/>
          <w:szCs w:val="20"/>
          <w:color w:val="auto"/>
        </w:rPr>
      </w:pPr>
    </w:p>
    <w:p>
      <w:pPr>
        <w:ind w:left="740"/>
        <w:spacing w:after="0" w:line="250" w:lineRule="auto"/>
        <w:rPr>
          <w:sz w:val="20"/>
          <w:szCs w:val="20"/>
          <w:color w:val="auto"/>
        </w:rPr>
      </w:pPr>
      <w:r>
        <w:rPr>
          <w:rFonts w:ascii="Times New Roman" w:cs="Times New Roman" w:eastAsia="Times New Roman" w:hAnsi="Times New Roman"/>
          <w:sz w:val="18"/>
          <w:szCs w:val="18"/>
          <w:color w:val="auto"/>
        </w:rPr>
        <w:t>Multi-channel marketing solutions through subscription sales of the Company’s cloud-based software, allowing customers to manage and individualize their marketing campaigns. In addition, multi-channel marketing services are provided to customers without access to the proprietary software.</w:t>
      </w:r>
    </w:p>
    <w:p>
      <w:pPr>
        <w:spacing w:after="0" w:line="149" w:lineRule="exact"/>
        <w:rPr>
          <w:sz w:val="20"/>
          <w:szCs w:val="20"/>
          <w:color w:val="auto"/>
        </w:rPr>
      </w:pPr>
    </w:p>
    <w:p>
      <w:pPr>
        <w:ind w:left="740"/>
        <w:spacing w:after="0" w:line="242" w:lineRule="auto"/>
        <w:rPr>
          <w:sz w:val="20"/>
          <w:szCs w:val="20"/>
          <w:color w:val="auto"/>
        </w:rPr>
      </w:pPr>
      <w:r>
        <w:rPr>
          <w:rFonts w:ascii="Times New Roman" w:cs="Times New Roman" w:eastAsia="Times New Roman" w:hAnsi="Times New Roman"/>
          <w:sz w:val="18"/>
          <w:szCs w:val="18"/>
          <w:color w:val="auto"/>
        </w:rPr>
        <w:t>Digital and strategic marketing services, paid media strategy and management, and other marketing related services. Multi-channel digital advertising and marketing services campaigns for customers, allowing them to target demographic audiences using data analytics and determine the delivery media such as email campaigns, banner impressions or video views on third-party websites.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describes the Company’s various revenue streams.</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Advertising and Marketing Services Revenue </w:t>
      </w:r>
      <w:r>
        <w:rPr>
          <w:rFonts w:ascii="Times New Roman" w:cs="Times New Roman" w:eastAsia="Times New Roman" w:hAnsi="Times New Roman"/>
          <w:sz w:val="18"/>
          <w:szCs w:val="18"/>
          <w:color w:val="auto"/>
        </w:rPr>
        <w:t>- Advertising and marketing services revenue accounted for approximately 46 percent of total revenue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2022.</w:t>
      </w:r>
    </w:p>
    <w:p>
      <w:pPr>
        <w:spacing w:after="0" w:line="145"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The Company has a comprehensive portfolio of print advertising products, which include display, classified and preprint advertising. Display revenue results from sales of advertising space within the Company’s core newspapers and niche publications to local, regional or national businesses with local operations, affiliates or resellers. Classified revenue, which includes automotive, real estate, employment, obituaries and other, results from sales of advertising space in the classified and other sections of the Company’s newspapers. Preprint revenue results from sales of preprinted advertisements or circulars inserted into the Company’s core newspapers, niche publications, and distributed to publications in other markets, or distributed by mail or through third-party distributors to households in targeted areas in order to provide total market coverage for advertisers. The Company’s capabilities allow its advertisers to target preprint distribution selectively at the sub-zip code level in order to optimize coverage for the advertisers’ locations. Preprint advertising also includes other services revenue related to the Company’s niche publications.</w:t>
      </w:r>
    </w:p>
    <w:p>
      <w:pPr>
        <w:spacing w:after="0" w:line="16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Company’s digital advertising and marketing services revenue consists of strategic marketing services, consulting, branding, paid media strategy and management, creative services, search optimization, direct mail and the sale of promotional materials, as well as providing multi-channel marketing solutions through subscription sales of the Company’s cloud-based software. In addition, it includes digital sales of banner, classified and native advertisements on the Company’s news and entertainment-related websites and mobile apps, as well as targeted and multi-channel (programmatic) advertising placed on third-party websites.</w:t>
      </w:r>
    </w:p>
    <w:p>
      <w:pPr>
        <w:spacing w:after="0" w:line="157"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b w:val="1"/>
          <w:bCs w:val="1"/>
          <w:color w:val="auto"/>
        </w:rPr>
        <w:t xml:space="preserve">Circulation Revenue </w:t>
      </w:r>
      <w:r>
        <w:rPr>
          <w:rFonts w:ascii="Times New Roman" w:cs="Times New Roman" w:eastAsia="Times New Roman" w:hAnsi="Times New Roman"/>
          <w:sz w:val="18"/>
          <w:szCs w:val="18"/>
          <w:color w:val="auto"/>
        </w:rPr>
        <w:t>- Circulation revenue accounted for approximately 43 percent of total revenue for 2022 and includes subscriptions and single copy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sales related to the Company’s core newspapers in print and digital formats. DallasNews’ steadfast commitment to producing superior, unduplicated local journalism enables the Company’s newspapers to charge premium subscription rates</w:t>
      </w:r>
      <w:r>
        <w:rPr>
          <w:rFonts w:ascii="Times New Roman" w:cs="Times New Roman" w:eastAsia="Times New Roman" w:hAnsi="Times New Roman"/>
          <w:sz w:val="18"/>
          <w:szCs w:val="18"/>
          <w:i w:val="1"/>
          <w:iCs w:val="1"/>
          <w:color w:val="auto"/>
        </w:rPr>
        <w:t>. The Dallas Morning News’</w:t>
      </w:r>
      <w:r>
        <w:rPr>
          <w:rFonts w:ascii="Times New Roman" w:cs="Times New Roman" w:eastAsia="Times New Roman" w:hAnsi="Times New Roman"/>
          <w:sz w:val="18"/>
          <w:szCs w:val="18"/>
          <w:color w:val="auto"/>
        </w:rPr>
        <w:t xml:space="preserve"> goal is to maximize the amount of recurring revenue from consumers of the Company’s print and digital products. The Company continuously assesses the journalism provided to subscribers and their willingness and ability to pay higher rates by geographic area. The Company has implemented effective rate increases to select subscribers or retailers. A digital replica version of </w:t>
      </w:r>
      <w:r>
        <w:rPr>
          <w:rFonts w:ascii="Times New Roman" w:cs="Times New Roman" w:eastAsia="Times New Roman" w:hAnsi="Times New Roman"/>
          <w:sz w:val="18"/>
          <w:szCs w:val="18"/>
          <w:i w:val="1"/>
          <w:iCs w:val="1"/>
          <w:color w:val="auto"/>
        </w:rPr>
        <w:t>The Dallas Morning News</w:t>
      </w:r>
      <w:r>
        <w:rPr>
          <w:rFonts w:ascii="Times New Roman" w:cs="Times New Roman" w:eastAsia="Times New Roman" w:hAnsi="Times New Roman"/>
          <w:sz w:val="18"/>
          <w:szCs w:val="18"/>
          <w:color w:val="auto"/>
        </w:rPr>
        <w:t xml:space="preserve"> is offered for subscribers to purchase if they prefer to consume news through a digital device in a more traditional format. DallasNews’ newspapers and the newspaper industry as a whole are challenged to maintain and grow print circulation volume. To the extent circulation volume declines cannot be offset by rate increases, the Company will realize lower circulation revenue. Circulation volume declines could also result in lower rates and volumes for advertising revenue.</w:t>
      </w:r>
    </w:p>
    <w:p>
      <w:pPr>
        <w:spacing w:after="0" w:line="200" w:lineRule="exact"/>
        <w:rPr>
          <w:sz w:val="20"/>
          <w:szCs w:val="20"/>
          <w:color w:val="auto"/>
        </w:rPr>
      </w:pPr>
    </w:p>
    <w:p>
      <w:pPr>
        <w:spacing w:after="0" w:line="283" w:lineRule="exact"/>
        <w:rPr>
          <w:sz w:val="20"/>
          <w:szCs w:val="20"/>
          <w:color w:val="auto"/>
        </w:rPr>
      </w:pPr>
    </w:p>
    <w:p>
      <w:pPr>
        <w:jc w:val="right"/>
        <w:spacing w:after="0"/>
        <w:tabs>
          <w:tab w:leader="none" w:pos="600" w:val="left"/>
        </w:tabs>
        <w:rPr>
          <w:sz w:val="20"/>
          <w:szCs w:val="20"/>
          <w:color w:val="auto"/>
        </w:rPr>
      </w:pPr>
      <w:r>
        <w:rPr>
          <w:rFonts w:ascii="Times New Roman" w:cs="Times New Roman" w:eastAsia="Times New Roman" w:hAnsi="Times New Roman"/>
          <w:sz w:val="18"/>
          <w:szCs w:val="18"/>
          <w:color w:val="auto"/>
        </w:rPr>
        <w:t>DallasNews Corporation 2022 Annual Report on Form 10-K</w:t>
      </w:r>
      <w:r>
        <w:rPr>
          <w:sz w:val="20"/>
          <w:szCs w:val="20"/>
          <w:color w:val="auto"/>
        </w:rPr>
        <w:tab/>
      </w:r>
      <w:r>
        <w:rPr>
          <w:rFonts w:ascii="Times New Roman" w:cs="Times New Roman" w:eastAsia="Times New Roman" w:hAnsi="Times New Roman"/>
          <w:sz w:val="17"/>
          <w:szCs w:val="17"/>
          <w:b w:val="1"/>
          <w:bCs w:val="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 xml:space="preserve">The Company’s news websites, including </w:t>
      </w:r>
      <w:r>
        <w:rPr>
          <w:rFonts w:ascii="Times New Roman" w:cs="Times New Roman" w:eastAsia="Times New Roman" w:hAnsi="Times New Roman"/>
          <w:sz w:val="18"/>
          <w:szCs w:val="18"/>
          <w:i w:val="1"/>
          <w:iCs w:val="1"/>
          <w:u w:val="single" w:color="auto"/>
          <w:color w:val="auto"/>
        </w:rPr>
        <w:t>dallasnews.com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u w:val="single" w:color="auto"/>
          <w:color w:val="auto"/>
        </w:rPr>
        <w:t>aldiadallas.com</w:t>
      </w:r>
      <w:r>
        <w:rPr>
          <w:rFonts w:ascii="Times New Roman" w:cs="Times New Roman" w:eastAsia="Times New Roman" w:hAnsi="Times New Roman"/>
          <w:sz w:val="18"/>
          <w:szCs w:val="18"/>
          <w:color w:val="auto"/>
        </w:rPr>
        <w:t>, are the leading English and Spanish news and entertainment digital platforms in the North Texas region. The news websites offer late-breaking and other up-to-date news coverage, user-generated content, advertising, e-commerce and other services. Readers can access news content across multiple digital platforms and obtain relevant local customized content and advertising. The Company’s journalists have expanded their reach and deepened their engagement with audiences by delivering news and content through social media platforms such as blogs, Facebook and Twitter, which direct traffic to the core websites. The Company’s success depends to a significant extent on its ability to develop and manage the digital business in response to the changes in consumers’ preferences and behaviors, as well as changes to advertising expenditures, as described above.</w:t>
      </w:r>
    </w:p>
    <w:p>
      <w:pPr>
        <w:spacing w:after="0" w:line="14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Printing, Distribution and Other Revenue - </w:t>
      </w:r>
      <w:r>
        <w:rPr>
          <w:rFonts w:ascii="Times New Roman" w:cs="Times New Roman" w:eastAsia="Times New Roman" w:hAnsi="Times New Roman"/>
          <w:sz w:val="18"/>
          <w:szCs w:val="18"/>
          <w:color w:val="auto"/>
        </w:rPr>
        <w:t>Printing, distribution and other revenue accounted for approximately 11 percent of total revenue for 2022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includes commercial printing, distribution, and shared mail packaging services. The Company’s commercial printing and distribution services leverage the capacity of its production and distribution assets. The Company believes the incremental revenue from these services allows a greater return from the Company’s operating assets.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Commercial printing and delivery services are provided for certain national newspapers. A shared mail packaging business is operated in Tempe, Arizona, providing mailed advertisements for business customers.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Raw Materials and Distribution</w:t>
      </w:r>
    </w:p>
    <w:p>
      <w:pPr>
        <w:spacing w:after="0" w:line="18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basic material used in publishing newspapers is newsprint. The Company has a Paper Supply Agreement, expiring in August 2025, with Gannett Supply Corporation (“Gannett”), a newsprint broker, which will be the Company’s sole supplier of newsprint from designated newsprint suppliers at market-based prices during the term of the agreement, except in certain specified instances. The agreement is renewable for successive one-year terms upon mutual agreement of the parties, and is terminable by either party on 180 days prior written notice. This agreement allows the Company access to multiple mills at competitive pricing. Prior to the Gannett agreement, the Company’s newsprint was obtained through a purchasing consortium. Management believes the Gannett agreement provides adequate sources of newsprint to meet the Company’s current needs. Significant increases in newsprint costs or the Company’s inability to obtain an adequate supply of newsprint in the future could adversely affect its financial condition and results of operations.</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2022, Company operations consumed 7,735 metric tons of newsprint at an average cost of $728 per metric ton. Consumption of newsprint in 2021 was 8,405 metric tons at an average cost of $572 per metric ton.</w:t>
      </w:r>
    </w:p>
    <w:p>
      <w:pPr>
        <w:spacing w:after="0" w:line="13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Company’s newspapers and other commercial print products are produced at its facility in Plano, Texas. Distribution of printed products to subscribers, retailers and newsstands is made under terms of agreements with third-party distributors. The Company believes a sufficient number of third-party distributors exist to allow uninterrupted distribution of the Company’s products. However, if third-party service providers face financial difficulties or terminate their relationship with the Company, this could adversely affect the Company’s ability to satisfy its customers or operate the business, and could affect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Competitive Strengths and Challenges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strengths include: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largest news-gathering operation in North Texas</w:t>
      </w:r>
    </w:p>
    <w:p>
      <w:pPr>
        <w:spacing w:after="0" w:line="184" w:lineRule="exact"/>
        <w:rPr>
          <w:sz w:val="20"/>
          <w:szCs w:val="20"/>
          <w:color w:val="auto"/>
        </w:rPr>
      </w:pPr>
    </w:p>
    <w:p>
      <w:pPr>
        <w:ind w:left="660" w:right="20"/>
        <w:spacing w:after="0" w:line="266" w:lineRule="auto"/>
        <w:rPr>
          <w:sz w:val="20"/>
          <w:szCs w:val="20"/>
          <w:color w:val="auto"/>
        </w:rPr>
      </w:pPr>
      <w:r>
        <w:rPr>
          <w:rFonts w:ascii="Times New Roman" w:cs="Times New Roman" w:eastAsia="Times New Roman" w:hAnsi="Times New Roman"/>
          <w:sz w:val="18"/>
          <w:szCs w:val="18"/>
          <w:color w:val="auto"/>
        </w:rPr>
        <w:t>the opportunity to build valuable first-party data sets about consumers in North Texas due to the millions of unique visitors who come to the Company’s websites monthly</w:t>
      </w:r>
    </w:p>
    <w:p>
      <w:pPr>
        <w:spacing w:after="0" w:line="121"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the ability to develop innovative new product and service offerings which leverage the Company’s brand equity, existing content, distribution platforms, technologies and relationships</w:t>
      </w:r>
    </w:p>
    <w:p>
      <w:pPr>
        <w:spacing w:after="0" w:line="121"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ability to provide clients with full-service agency capabilities including strategy, creative, website development, and media management which allow our clients to connect with their business, their brand and their audiences</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sufficient liquidity to allow the Company to invest opportunistically in the Company’s business</w:t>
      </w:r>
    </w:p>
    <w:p>
      <w:pPr>
        <w:spacing w:after="0" w:line="184" w:lineRule="exact"/>
        <w:rPr>
          <w:sz w:val="20"/>
          <w:szCs w:val="20"/>
          <w:color w:val="auto"/>
        </w:rPr>
      </w:pPr>
    </w:p>
    <w:p>
      <w:pPr>
        <w:ind w:left="660" w:right="1800"/>
        <w:spacing w:after="0" w:line="446" w:lineRule="auto"/>
        <w:rPr>
          <w:sz w:val="20"/>
          <w:szCs w:val="20"/>
          <w:color w:val="auto"/>
        </w:rPr>
      </w:pPr>
      <w:r>
        <w:rPr>
          <w:rFonts w:ascii="Times New Roman" w:cs="Times New Roman" w:eastAsia="Times New Roman" w:hAnsi="Times New Roman"/>
          <w:sz w:val="18"/>
          <w:szCs w:val="18"/>
          <w:color w:val="auto"/>
        </w:rPr>
        <w:t>an affluent and educated demographic base in its market centered around one of the fastest growing regions in the country the ability to market print or digital products and services to large and targeted audiences at low marginal costs</w:t>
      </w:r>
    </w:p>
    <w:p>
      <w:pPr>
        <w:ind w:left="660"/>
        <w:spacing w:after="0" w:line="282" w:lineRule="auto"/>
        <w:rPr>
          <w:sz w:val="20"/>
          <w:szCs w:val="20"/>
          <w:color w:val="auto"/>
        </w:rPr>
      </w:pPr>
      <w:r>
        <w:rPr>
          <w:rFonts w:ascii="Times New Roman" w:cs="Times New Roman" w:eastAsia="Times New Roman" w:hAnsi="Times New Roman"/>
          <w:sz w:val="18"/>
          <w:szCs w:val="18"/>
          <w:color w:val="auto"/>
        </w:rPr>
        <w:t>a large sales force with knowledge of the marketplaces in which the Company conducts its business, and relationships with current and potential print and digital advertising clients</w:t>
      </w:r>
    </w:p>
    <w:p>
      <w:pPr>
        <w:spacing w:after="0" w:line="1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ability to manage operating costs effectively according to market pressures</w:t>
      </w:r>
    </w:p>
    <w:p>
      <w:pPr>
        <w:spacing w:after="0" w:line="127" w:lineRule="exact"/>
        <w:rPr>
          <w:sz w:val="20"/>
          <w:szCs w:val="20"/>
          <w:color w:val="auto"/>
        </w:rPr>
      </w:pPr>
    </w:p>
    <w:p>
      <w:pPr>
        <w:jc w:val="right"/>
        <w:spacing w:after="0"/>
        <w:tabs>
          <w:tab w:leader="none" w:pos="600" w:val="left"/>
        </w:tabs>
        <w:rPr>
          <w:sz w:val="20"/>
          <w:szCs w:val="20"/>
          <w:color w:val="auto"/>
        </w:rPr>
      </w:pPr>
      <w:r>
        <w:rPr>
          <w:rFonts w:ascii="Times New Roman" w:cs="Times New Roman" w:eastAsia="Times New Roman" w:hAnsi="Times New Roman"/>
          <w:sz w:val="18"/>
          <w:szCs w:val="18"/>
          <w:color w:val="auto"/>
        </w:rPr>
        <w:t>DallasNews Corporation 2022 Annual Report on Form 10-K</w:t>
      </w:r>
      <w:r>
        <w:rPr>
          <w:sz w:val="20"/>
          <w:szCs w:val="20"/>
          <w:color w:val="auto"/>
        </w:rPr>
        <w:tab/>
      </w:r>
      <w:r>
        <w:rPr>
          <w:rFonts w:ascii="Times New Roman" w:cs="Times New Roman" w:eastAsia="Times New Roman" w:hAnsi="Times New Roman"/>
          <w:sz w:val="17"/>
          <w:szCs w:val="17"/>
          <w:b w:val="1"/>
          <w:bCs w:val="1"/>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challenges include:</w:t>
      </w:r>
    </w:p>
    <w:p>
      <w:pPr>
        <w:spacing w:after="0" w:line="158"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timely growth of revenue and profits related to the Company’s agency, digital services and digital subscriptions businesses that would provide for an offset to declines in revenue and profits related to the Company’s print advertising and print circulation</w:t>
      </w:r>
    </w:p>
    <w:p>
      <w:pPr>
        <w:spacing w:after="0" w:line="9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operating in a competitive environment with increased competition from other media, particularly internet-based media provided to customers at no cost</w:t>
      </w:r>
    </w:p>
    <w:p>
      <w:pPr>
        <w:spacing w:after="0" w:line="9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effective monetization of locally-created online content on the Company’s websites while balancing the impact of potential lower traffic volumes with an established metered-based model</w:t>
      </w:r>
    </w:p>
    <w:p>
      <w:pPr>
        <w:spacing w:after="0" w:line="12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In response to the decline in print revenue, the Company has developed agency and digital advertising capabilities through multiple media channels. The Company leverages its news content to improve engagement on the Company’s digital platforms that results in increased digital subscriptions and associated revenue. The Company also continues to diversify its revenue base by leveraging the available capacity of its existing assets to provide print and distribution services for newspapers and other customers requiring these services, by introducing new advertising and marketing services products, and by increasing circulation prices.</w:t>
      </w:r>
    </w:p>
    <w:p>
      <w:pPr>
        <w:spacing w:after="0" w:line="16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Because of declining print circulation, the Company has developed broad digital strategies designed to provide readers with multiple platforms for obtaining online access to local news. The Company continues to obtain additional key demographic data from readers, which allows the Company to provide content desired by readers and to modify marketing and distribution strategies to target and reach audiences valued by advertisers. The Company has access to programmatic digital advertising platforms that provide digital ad placement and targeting efficiencies and increases utilization of digital inventory within the Company’s websites. Additionally, in order to optimize owned and operated digital advertising revenue, the Company has adopted a holistic yield management approach powered by real-time bidding technologies and data analysis to ensure the optimal mix of direct sales and programmatic ad sales is achieved.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Strategy</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DallasNews is committed to producing quality journalism for its communities and providing innovative digital marketing solutions for its customers through its agency capabilities, while creating value for shareholders over the long-term. The Company continuously evaluates its operations and investments against various economic factors to determine the appropriate current strategies.</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committed to maintaining the leading digital and print platforms for delivering news of the highest quality and reliability in the North Texas area, as well as creating and developing innovative print and digital marketing services capabilities that address the needs of clients and advertisers.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seeks to achieve these objectives through the following strategies:</w:t>
      </w:r>
    </w:p>
    <w:p>
      <w:pPr>
        <w:spacing w:after="0" w:line="15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produce quality local journalism at scale, distributed through digital platforms that improve user engagement and result in increased digital subscriptions and customer retention</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develop new ways to grow advertising dollars on the Company’s digital platforms</w:t>
      </w:r>
    </w:p>
    <w:p>
      <w:pPr>
        <w:spacing w:after="0" w:line="184" w:lineRule="exact"/>
        <w:rPr>
          <w:sz w:val="20"/>
          <w:szCs w:val="20"/>
          <w:color w:val="auto"/>
        </w:rPr>
      </w:pPr>
    </w:p>
    <w:p>
      <w:pPr>
        <w:ind w:left="660" w:right="300"/>
        <w:spacing w:after="0" w:line="480" w:lineRule="auto"/>
        <w:rPr>
          <w:sz w:val="20"/>
          <w:szCs w:val="20"/>
          <w:color w:val="auto"/>
        </w:rPr>
      </w:pPr>
      <w:r>
        <w:rPr>
          <w:rFonts w:ascii="Times New Roman" w:cs="Times New Roman" w:eastAsia="Times New Roman" w:hAnsi="Times New Roman"/>
          <w:sz w:val="17"/>
          <w:szCs w:val="17"/>
          <w:color w:val="auto"/>
        </w:rPr>
        <w:t>grow recurring advertising and digital marketing services revenue through a client-first approach and enhanced full-service agency capabilities improve print revenues and increase utilization of operating assets by maintaining profitable print and distribution services to third parties</w:t>
      </w:r>
    </w:p>
    <w:p>
      <w:pPr>
        <w:spacing w:after="0" w:line="1"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continue to align costs with revenue, maintain strong liquidity to support future business and product initiatives, and provide flexibility to meet strategic investment opportunities and other cash flow requirements</w:t>
      </w:r>
    </w:p>
    <w:p>
      <w:pPr>
        <w:spacing w:after="0" w:line="200" w:lineRule="exact"/>
        <w:rPr>
          <w:sz w:val="20"/>
          <w:szCs w:val="20"/>
          <w:color w:val="auto"/>
        </w:rPr>
      </w:pPr>
    </w:p>
    <w:p>
      <w:pPr>
        <w:spacing w:after="0" w:line="255" w:lineRule="exact"/>
        <w:rPr>
          <w:sz w:val="20"/>
          <w:szCs w:val="20"/>
          <w:color w:val="auto"/>
        </w:rPr>
      </w:pPr>
    </w:p>
    <w:p>
      <w:pPr>
        <w:jc w:val="right"/>
        <w:spacing w:after="0"/>
        <w:tabs>
          <w:tab w:leader="none" w:pos="600" w:val="left"/>
        </w:tabs>
        <w:rPr>
          <w:sz w:val="20"/>
          <w:szCs w:val="20"/>
          <w:color w:val="auto"/>
        </w:rPr>
      </w:pPr>
      <w:r>
        <w:rPr>
          <w:rFonts w:ascii="Times New Roman" w:cs="Times New Roman" w:eastAsia="Times New Roman" w:hAnsi="Times New Roman"/>
          <w:sz w:val="18"/>
          <w:szCs w:val="18"/>
          <w:color w:val="auto"/>
        </w:rPr>
        <w:t>DallasNews Corporation 2022 Annual Report on Form 10-K</w:t>
      </w:r>
      <w:r>
        <w:rPr>
          <w:sz w:val="20"/>
          <w:szCs w:val="20"/>
          <w:color w:val="auto"/>
        </w:rPr>
        <w:tab/>
      </w:r>
      <w:r>
        <w:rPr>
          <w:rFonts w:ascii="Times New Roman" w:cs="Times New Roman" w:eastAsia="Times New Roman" w:hAnsi="Times New Roman"/>
          <w:sz w:val="17"/>
          <w:szCs w:val="17"/>
          <w:b w:val="1"/>
          <w:bCs w:val="1"/>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Competition</w:t>
      </w:r>
    </w:p>
    <w:p>
      <w:pPr>
        <w:spacing w:after="0" w:line="18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DallasNews’ newspapers, niche publications and related websites primarily serve audiences in the North Texas area. The Company competes for advertising revenue for its newspapers and websites with other print and agency companies. Advertising revenues for the Company’s newspapers and websites are responsive to circulation and traffic volumes, demographics of their subscriber bases, advertising results, rates and customer service. Advertising on digital platforms is highly competitive and largely dominated by large internet companies. As advertisers reallocate marketing expenditures from print to digital channels, the Company believes its strong local brand and its full-service agency, Medium Giant, has capabilities that will allow it to offer exclusive advertising and digital marketing solutions to local businesses on a competitive scale.</w:t>
      </w:r>
    </w:p>
    <w:p>
      <w:pPr>
        <w:spacing w:after="0" w:line="15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i w:val="1"/>
          <w:iCs w:val="1"/>
          <w:color w:val="auto"/>
        </w:rPr>
        <w:t xml:space="preserve">The Dallas Morning News </w:t>
      </w:r>
      <w:r>
        <w:rPr>
          <w:rFonts w:ascii="Times New Roman" w:cs="Times New Roman" w:eastAsia="Times New Roman" w:hAnsi="Times New Roman"/>
          <w:sz w:val="18"/>
          <w:szCs w:val="18"/>
          <w:color w:val="auto"/>
        </w:rPr>
        <w:t>has the highest paid print circulation in the North Texas area while competing with one other metropolitan newspaper in parts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geographic market. Circulation revenues are challenged primarily due to free and readily-accessible news, entertainment, advertising and other content available through the internet. This secular shift from print to digital media continues as consumer lifestyles embrace technological advancements, particularly with mobile devices, which provide access to a wide variety of digital news and advertising alternatives, including news and social media websites, online advertising networks and exchanges, online classified services, and direct email advertising. Competition for readers is primarily based on mode of delivery, quality of the Company’s journalism, price, timeliness of interaction with audiences, and customer service. News and other digital content produced by the Company’s newspapers and niche publications are available via its websites, mobile applications and through email. The Company offers competitive technology for accessing digital content on mobile devices and via personal computers. Journalists engage online readers through blogs, Twitter and other social media posts.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Seasonality</w:t>
      </w:r>
    </w:p>
    <w:p>
      <w:pPr>
        <w:spacing w:after="0" w:line="1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DallasNews’ advertising revenues are subject to moderate seasonality, with print and digital advertising revenue typically higher in the fourth calendar quarter of each year because of the holiday shopping season. The level of print and digital advertising sales in any period may also be affected by advertisers’ decisions to increase or decrease their advertising expenditures in response to anticipated consumer demand and general economic conditions.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Employees</w:t>
      </w:r>
    </w:p>
    <w:p>
      <w:pPr>
        <w:spacing w:after="0" w:line="17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As of December 31, 2022, the Company had 663 employees of which approximately 21 percent were represented by a labor union. The Company is in the process of finalizing an initial collective bargaining agreement. While there have not been any operational disruptions to date, the Company cannot predict the timing or outcome of these negotiations.</w:t>
      </w:r>
    </w:p>
    <w:p>
      <w:pPr>
        <w:spacing w:after="0" w:line="145"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Company considers its relationships with its employees to be very good and is committed to an equitable and inclusive workplace that reflects the diversity of its local readers and the communities it serves.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Available Information</w:t>
      </w:r>
    </w:p>
    <w:p>
      <w:pPr>
        <w:spacing w:after="0" w:line="17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DallasNews maintains its corporate website at </w:t>
      </w:r>
      <w:r>
        <w:rPr>
          <w:rFonts w:ascii="Times New Roman" w:cs="Times New Roman" w:eastAsia="Times New Roman" w:hAnsi="Times New Roman"/>
          <w:sz w:val="18"/>
          <w:szCs w:val="18"/>
          <w:i w:val="1"/>
          <w:iCs w:val="1"/>
          <w:color w:val="auto"/>
        </w:rPr>
        <w:t>dallasnewscorporation.com</w:t>
      </w:r>
      <w:r>
        <w:rPr>
          <w:rFonts w:ascii="Times New Roman" w:cs="Times New Roman" w:eastAsia="Times New Roman" w:hAnsi="Times New Roman"/>
          <w:sz w:val="18"/>
          <w:szCs w:val="18"/>
          <w:color w:val="auto"/>
        </w:rPr>
        <w:t>, which makes available, free of charge, this Annual Report on Form 10-K, its Quarterly Reports on Form 10-Q, its Current Reports on Form 8-K and amendments to those reports, as filed or furnished pursuant to Section 13(a) or 15(d) of the Securities Exchange Act of 1934 (the “Exchange Act”), as amended, as soon as reasonably practicable after the reports are electronically filed with or furnished to the Securities and Exchange Commission (the “SEC”).</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r>
      <w:tr>
        <w:trPr>
          <w:trHeight w:val="189"/>
        </w:trPr>
        <w:tc>
          <w:tcPr>
            <w:tcW w:w="716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 xml:space="preserve">Corporate and </w:t>
            </w:r>
            <w:r>
              <w:rPr>
                <w:rFonts w:ascii="Times New Roman" w:cs="Times New Roman" w:eastAsia="Times New Roman" w:hAnsi="Times New Roman"/>
                <w:sz w:val="18"/>
                <w:szCs w:val="18"/>
                <w:i w:val="1"/>
                <w:iCs w:val="1"/>
                <w:color w:val="auto"/>
              </w:rPr>
              <w:t>The Dallas Morning News</w:t>
            </w:r>
          </w:p>
        </w:tc>
        <w:tc>
          <w:tcPr>
            <w:tcW w:w="24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Leased</w:t>
            </w:r>
          </w:p>
        </w:tc>
        <w:tc>
          <w:tcPr>
            <w:tcW w:w="240" w:type="dxa"/>
            <w:vAlign w:val="bottom"/>
            <w:tcBorders>
              <w:top w:val="single" w:sz="8" w:color="CCEEFF"/>
            </w:tcBorders>
            <w:shd w:val="clear" w:color="auto" w:fill="CCEEFF"/>
          </w:tcPr>
          <w:p>
            <w:pPr>
              <w:spacing w:after="0"/>
              <w:rPr>
                <w:sz w:val="16"/>
                <w:szCs w:val="16"/>
                <w:color w:val="auto"/>
              </w:rPr>
            </w:pPr>
          </w:p>
        </w:tc>
        <w:tc>
          <w:tcPr>
            <w:tcW w:w="2160" w:type="dxa"/>
            <w:vAlign w:val="bottom"/>
            <w:tcBorders>
              <w:top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Dallas, Texas</w:t>
            </w:r>
          </w:p>
        </w:tc>
      </w:tr>
      <w:tr>
        <w:trPr>
          <w:trHeight w:val="189"/>
        </w:trPr>
        <w:tc>
          <w:tcPr>
            <w:tcW w:w="74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Printing facilities</w:t>
            </w:r>
          </w:p>
        </w:tc>
        <w:tc>
          <w:tcPr>
            <w:tcW w:w="168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color w:val="auto"/>
                <w:w w:val="99"/>
              </w:rPr>
              <w:t>Owned</w:t>
            </w:r>
          </w:p>
        </w:tc>
        <w:tc>
          <w:tcPr>
            <w:tcW w:w="21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Plano, Texas</w:t>
            </w:r>
          </w:p>
        </w:tc>
      </w:tr>
      <w:tr>
        <w:trPr>
          <w:trHeight w:val="189"/>
        </w:trPr>
        <w:tc>
          <w:tcPr>
            <w:tcW w:w="74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Former sales operations (subleased)</w:t>
            </w:r>
          </w:p>
        </w:tc>
        <w:tc>
          <w:tcPr>
            <w:tcW w:w="1680" w:type="dxa"/>
            <w:vAlign w:val="bottom"/>
            <w:gridSpan w:val="2"/>
            <w:shd w:val="clear" w:color="auto" w:fill="CCEEFF"/>
          </w:tcPr>
          <w:p>
            <w:pPr>
              <w:jc w:val="center"/>
              <w:ind w:right="240"/>
              <w:spacing w:after="0" w:line="189" w:lineRule="exact"/>
              <w:rPr>
                <w:sz w:val="20"/>
                <w:szCs w:val="20"/>
                <w:color w:val="auto"/>
              </w:rPr>
            </w:pPr>
            <w:r>
              <w:rPr>
                <w:rFonts w:ascii="Times New Roman" w:cs="Times New Roman" w:eastAsia="Times New Roman" w:hAnsi="Times New Roman"/>
                <w:sz w:val="18"/>
                <w:szCs w:val="18"/>
                <w:color w:val="auto"/>
              </w:rPr>
              <w:t>Leased</w:t>
            </w:r>
          </w:p>
        </w:tc>
        <w:tc>
          <w:tcPr>
            <w:tcW w:w="21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Dallas, Texas</w:t>
            </w:r>
          </w:p>
        </w:tc>
      </w:tr>
      <w:tr>
        <w:trPr>
          <w:trHeight w:val="234"/>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mail packaging office and warehouse</w:t>
            </w: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Leased</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Tempe, Arizona</w:t>
            </w:r>
          </w:p>
        </w:tc>
      </w:tr>
    </w:tbl>
    <w:p>
      <w:pPr>
        <w:spacing w:after="0" w:line="1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7"/>
          <w:szCs w:val="17"/>
          <w:color w:val="auto"/>
        </w:rPr>
        <w:t>In addition to the properties above, the Company has various leased locations it uses for news reporting and the distribution of the Company’s publications, and it leases property in Tulsa, Oklahoma used for sales operations. As of December 31, 2022, in aggregate, the Company leased facilities for current use consisting of approximately 263,000 square feet and owns property that includes land and a building consisting of approximately 1,258,000 square feet.</w:t>
      </w:r>
    </w:p>
    <w:p>
      <w:pPr>
        <w:spacing w:after="0" w:line="75" w:lineRule="exact"/>
        <w:rPr>
          <w:sz w:val="20"/>
          <w:szCs w:val="20"/>
          <w:color w:val="auto"/>
        </w:rPr>
      </w:pPr>
    </w:p>
    <w:p>
      <w:pPr>
        <w:jc w:val="right"/>
        <w:spacing w:after="0"/>
        <w:tabs>
          <w:tab w:leader="none" w:pos="600" w:val="left"/>
        </w:tabs>
        <w:rPr>
          <w:sz w:val="20"/>
          <w:szCs w:val="20"/>
          <w:color w:val="auto"/>
        </w:rPr>
      </w:pPr>
      <w:r>
        <w:rPr>
          <w:rFonts w:ascii="Times New Roman" w:cs="Times New Roman" w:eastAsia="Times New Roman" w:hAnsi="Times New Roman"/>
          <w:sz w:val="18"/>
          <w:szCs w:val="18"/>
          <w:color w:val="auto"/>
        </w:rPr>
        <w:t>DallasNews Corporation 2022 Annual Report on Form 10-K</w:t>
      </w:r>
      <w:r>
        <w:rPr>
          <w:sz w:val="20"/>
          <w:szCs w:val="20"/>
          <w:color w:val="auto"/>
        </w:rPr>
        <w:tab/>
      </w:r>
      <w:r>
        <w:rPr>
          <w:rFonts w:ascii="Times New Roman" w:cs="Times New Roman" w:eastAsia="Times New Roman" w:hAnsi="Times New Roman"/>
          <w:sz w:val="17"/>
          <w:szCs w:val="17"/>
          <w:b w:val="1"/>
          <w:bCs w:val="1"/>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221615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8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A number of legal proceedings are pending against DallasNews. In the opinion of management, liabilities, if any, arising from these legal proceedings would not have a material adverse effect on DallasNews’ results of operations, liquidity or financial condition. DallasNews and its subsidiaries may be subject to litigation, including matters relating to alleged libel or defamation, governmental proceedings and investigations. Adverse determinations in any such matters could require DallasNews to make monetary payments or result in other sanctions or findings that could adversely affect the Company’s business, financial condition and results of operations. Insurance coverage, if any, may not be adequate to cover all costs and/or losses. In some instances, the Company may have a contractual obligation from a third-party to indemnify liabilities related to litigation or governmental investigation, but if the third-party fails to indemnify us, the Company would be responsible for monetary damages.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05" w:lineRule="exact"/>
        <w:rPr>
          <w:sz w:val="20"/>
          <w:szCs w:val="20"/>
          <w:color w:val="auto"/>
        </w:rPr>
      </w:pPr>
    </w:p>
    <w:p>
      <w:pPr>
        <w:jc w:val="right"/>
        <w:spacing w:after="0"/>
        <w:tabs>
          <w:tab w:leader="none" w:pos="600" w:val="left"/>
        </w:tabs>
        <w:rPr>
          <w:sz w:val="20"/>
          <w:szCs w:val="20"/>
          <w:color w:val="auto"/>
        </w:rPr>
      </w:pPr>
      <w:r>
        <w:rPr>
          <w:rFonts w:ascii="Times New Roman" w:cs="Times New Roman" w:eastAsia="Times New Roman" w:hAnsi="Times New Roman"/>
          <w:sz w:val="18"/>
          <w:szCs w:val="18"/>
          <w:color w:val="auto"/>
        </w:rPr>
        <w:t>DallasNews Corporation 2022 Annual Report on Form 10-K</w:t>
      </w:r>
      <w:r>
        <w:rPr>
          <w:sz w:val="20"/>
          <w:szCs w:val="20"/>
          <w:color w:val="auto"/>
        </w:rPr>
        <w:tab/>
      </w:r>
      <w:r>
        <w:rPr>
          <w:rFonts w:ascii="Times New Roman" w:cs="Times New Roman" w:eastAsia="Times New Roman" w:hAnsi="Times New Roman"/>
          <w:sz w:val="17"/>
          <w:szCs w:val="17"/>
          <w:b w:val="1"/>
          <w:bCs w:val="1"/>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PART II</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75"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The Company’s authorized common equity consists of 31,250,000 shares of common stock, par value $.01 per share. The Company has two series of common stock outstanding, Series A and Series B. Shares of the two series are identical in all respects except as noted herein. Shares of Series B common stock are entitled to 10 votes per share on all matters submitted to a vote of shareholders, and shares of Series A common stock are entitled to one vote per share. Transferability of the Series B common stock is limited to family members and affiliated entities of the holder. Shares of Series B common stock are convertible at any time on a one-for-one basis into shares of Series A common stock and upon a transfer, other than as described above, shares of Series B common stock automatically convert into Series A common stock. Since June 29, 2021, the Company’s Series A common stock has been traded on The Nasdaq Stock Market LLC (Nasdaq trading symbol: DALN). Prior to that time, shares of the Company’s Series A common stock was traded on the New York Stock Exchange (NYSE trading symbol: AHC) and began trading on February 11, 2008. There is no established public trading market for shares of Series B common stock.</w:t>
      </w:r>
    </w:p>
    <w:p>
      <w:pPr>
        <w:spacing w:after="0" w:line="15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The declaration of dividends is subject to the discretion of DallasNews’ board of directors. The determination as to the amount declared and its timing depends on, among other things, DallasNews’ results of operations and financial condition, capital requirements, other contractual restrictions, prospects, applicable law, general economic and business conditions and other future factors that are deemed relevant. The board of directors generally declares dividends during the quarter preceding its stated measurement and payment dates. DallasNews cannot provide any assurance that future dividends will be declared and paid due to the factors discussed in the “</w:t>
      </w:r>
      <w:r>
        <w:rPr>
          <w:rFonts w:ascii="Times New Roman" w:cs="Times New Roman" w:eastAsia="Times New Roman" w:hAnsi="Times New Roman"/>
          <w:sz w:val="18"/>
          <w:szCs w:val="18"/>
          <w:u w:val="single" w:color="auto"/>
          <w:color w:val="0000FF"/>
        </w:rPr>
        <w:t>Cautionary Statement Concerning Forward-Looking Statements</w:t>
      </w:r>
      <w:r>
        <w:rPr>
          <w:rFonts w:ascii="Times New Roman" w:cs="Times New Roman" w:eastAsia="Times New Roman" w:hAnsi="Times New Roman"/>
          <w:sz w:val="18"/>
          <w:szCs w:val="18"/>
          <w:color w:val="auto"/>
        </w:rPr>
        <w:t>” and elsewhere in this Annual Report on Form 10-K. The table below sets forth the high and low sales prices reported on The Nasdaq Stock Market LLC for a share of the Company’s common stock and the recorded cash dividends per share declared for the past two years.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4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Stock Price</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Dividends</w:t>
            </w:r>
          </w:p>
        </w:tc>
      </w:tr>
      <w:tr>
        <w:trPr>
          <w:trHeight w:val="169"/>
        </w:trPr>
        <w:tc>
          <w:tcPr>
            <w:tcW w:w="54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High</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Low</w:t>
            </w:r>
          </w:p>
        </w:tc>
        <w:tc>
          <w:tcPr>
            <w:tcW w:w="340" w:type="dxa"/>
            <w:vAlign w:val="bottom"/>
          </w:tcPr>
          <w:p>
            <w:pPr>
              <w:spacing w:after="0"/>
              <w:rPr>
                <w:sz w:val="14"/>
                <w:szCs w:val="14"/>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Close</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Declared (1)(2)</w:t>
            </w:r>
          </w:p>
        </w:tc>
      </w:tr>
      <w:tr>
        <w:trPr>
          <w:trHeight w:val="189"/>
        </w:trPr>
        <w:tc>
          <w:tcPr>
            <w:tcW w:w="540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2022</w:t>
            </w:r>
          </w:p>
        </w:tc>
        <w:tc>
          <w:tcPr>
            <w:tcW w:w="8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r>
      <w:tr>
        <w:trPr>
          <w:trHeight w:val="189"/>
        </w:trPr>
        <w:tc>
          <w:tcPr>
            <w:tcW w:w="540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Fourth quarter</w:t>
            </w:r>
          </w:p>
        </w:tc>
        <w:tc>
          <w:tcPr>
            <w:tcW w:w="860" w:type="dxa"/>
            <w:vAlign w:val="bottom"/>
          </w:tcPr>
          <w:p>
            <w:pPr>
              <w:jc w:val="right"/>
              <w:ind w:right="596"/>
              <w:spacing w:after="0" w:line="189"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5.42</w:t>
            </w:r>
          </w:p>
        </w:tc>
        <w:tc>
          <w:tcPr>
            <w:tcW w:w="160" w:type="dxa"/>
            <w:vAlign w:val="bottom"/>
          </w:tcPr>
          <w:p>
            <w:pPr>
              <w:spacing w:after="0"/>
              <w:rPr>
                <w:sz w:val="16"/>
                <w:szCs w:val="16"/>
                <w:color w:val="auto"/>
              </w:rPr>
            </w:pPr>
          </w:p>
        </w:tc>
        <w:tc>
          <w:tcPr>
            <w:tcW w:w="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3.73</w:t>
            </w:r>
          </w:p>
        </w:tc>
        <w:tc>
          <w:tcPr>
            <w:tcW w:w="160" w:type="dxa"/>
            <w:vAlign w:val="bottom"/>
          </w:tcPr>
          <w:p>
            <w:pPr>
              <w:spacing w:after="0"/>
              <w:rPr>
                <w:sz w:val="16"/>
                <w:szCs w:val="16"/>
                <w:color w:val="auto"/>
              </w:rPr>
            </w:pPr>
          </w:p>
        </w:tc>
        <w:tc>
          <w:tcPr>
            <w:tcW w:w="34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3.86</w:t>
            </w:r>
          </w:p>
        </w:tc>
        <w:tc>
          <w:tcPr>
            <w:tcW w:w="160" w:type="dxa"/>
            <w:vAlign w:val="bottom"/>
          </w:tcPr>
          <w:p>
            <w:pPr>
              <w:spacing w:after="0"/>
              <w:rPr>
                <w:sz w:val="16"/>
                <w:szCs w:val="16"/>
                <w:color w:val="auto"/>
              </w:rPr>
            </w:pPr>
          </w:p>
        </w:tc>
        <w:tc>
          <w:tcPr>
            <w:tcW w:w="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0.16</w:t>
            </w:r>
          </w:p>
        </w:tc>
      </w:tr>
      <w:tr>
        <w:trPr>
          <w:trHeight w:val="189"/>
        </w:trPr>
        <w:tc>
          <w:tcPr>
            <w:tcW w:w="540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Third quarter</w:t>
            </w: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8.49</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4.51</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4.64</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1.66</w:t>
            </w:r>
          </w:p>
        </w:tc>
      </w:tr>
      <w:tr>
        <w:trPr>
          <w:trHeight w:val="189"/>
        </w:trPr>
        <w:tc>
          <w:tcPr>
            <w:tcW w:w="540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Second quarter</w:t>
            </w:r>
          </w:p>
        </w:tc>
        <w:tc>
          <w:tcPr>
            <w:tcW w:w="860" w:type="dxa"/>
            <w:vAlign w:val="bottom"/>
          </w:tcPr>
          <w:p>
            <w:pPr>
              <w:spacing w:after="0"/>
              <w:rPr>
                <w:sz w:val="16"/>
                <w:szCs w:val="16"/>
                <w:color w:val="auto"/>
              </w:rPr>
            </w:pPr>
          </w:p>
        </w:tc>
        <w:tc>
          <w:tcPr>
            <w:tcW w:w="4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7.05</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5.99</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6.33</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0.16</w:t>
            </w:r>
          </w:p>
        </w:tc>
      </w:tr>
      <w:tr>
        <w:trPr>
          <w:trHeight w:val="189"/>
        </w:trPr>
        <w:tc>
          <w:tcPr>
            <w:tcW w:w="540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First quarter</w:t>
            </w: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7.56</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6.26</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7.00</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0.16</w:t>
            </w:r>
          </w:p>
        </w:tc>
      </w:tr>
      <w:tr>
        <w:trPr>
          <w:trHeight w:val="162"/>
        </w:trPr>
        <w:tc>
          <w:tcPr>
            <w:tcW w:w="5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9"/>
        </w:trPr>
        <w:tc>
          <w:tcPr>
            <w:tcW w:w="54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2021</w:t>
            </w: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89"/>
        </w:trPr>
        <w:tc>
          <w:tcPr>
            <w:tcW w:w="540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Fourth quarter</w:t>
            </w:r>
          </w:p>
        </w:tc>
        <w:tc>
          <w:tcPr>
            <w:tcW w:w="860" w:type="dxa"/>
            <w:vAlign w:val="bottom"/>
          </w:tcPr>
          <w:p>
            <w:pPr>
              <w:jc w:val="right"/>
              <w:ind w:right="596"/>
              <w:spacing w:after="0" w:line="189"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7.60</w:t>
            </w:r>
          </w:p>
        </w:tc>
        <w:tc>
          <w:tcPr>
            <w:tcW w:w="160" w:type="dxa"/>
            <w:vAlign w:val="bottom"/>
          </w:tcPr>
          <w:p>
            <w:pPr>
              <w:spacing w:after="0"/>
              <w:rPr>
                <w:sz w:val="16"/>
                <w:szCs w:val="16"/>
                <w:color w:val="auto"/>
              </w:rPr>
            </w:pPr>
          </w:p>
        </w:tc>
        <w:tc>
          <w:tcPr>
            <w:tcW w:w="24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6.28</w:t>
            </w:r>
          </w:p>
        </w:tc>
        <w:tc>
          <w:tcPr>
            <w:tcW w:w="160" w:type="dxa"/>
            <w:vAlign w:val="bottom"/>
          </w:tcPr>
          <w:p>
            <w:pPr>
              <w:spacing w:after="0"/>
              <w:rPr>
                <w:sz w:val="16"/>
                <w:szCs w:val="16"/>
                <w:color w:val="auto"/>
              </w:rPr>
            </w:pPr>
          </w:p>
        </w:tc>
        <w:tc>
          <w:tcPr>
            <w:tcW w:w="34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7.22</w:t>
            </w:r>
          </w:p>
        </w:tc>
        <w:tc>
          <w:tcPr>
            <w:tcW w:w="160" w:type="dxa"/>
            <w:vAlign w:val="bottom"/>
          </w:tcPr>
          <w:p>
            <w:pPr>
              <w:spacing w:after="0"/>
              <w:rPr>
                <w:sz w:val="16"/>
                <w:szCs w:val="16"/>
                <w:color w:val="auto"/>
              </w:rPr>
            </w:pPr>
          </w:p>
        </w:tc>
        <w:tc>
          <w:tcPr>
            <w:tcW w:w="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0.16</w:t>
            </w:r>
          </w:p>
        </w:tc>
      </w:tr>
      <w:tr>
        <w:trPr>
          <w:trHeight w:val="189"/>
        </w:trPr>
        <w:tc>
          <w:tcPr>
            <w:tcW w:w="540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Third quarter</w:t>
            </w: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7.75</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6.27</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6.81</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0.16</w:t>
            </w:r>
          </w:p>
        </w:tc>
      </w:tr>
      <w:tr>
        <w:trPr>
          <w:trHeight w:val="157"/>
        </w:trPr>
        <w:tc>
          <w:tcPr>
            <w:tcW w:w="5400" w:type="dxa"/>
            <w:vAlign w:val="bottom"/>
          </w:tcPr>
          <w:p>
            <w:pPr>
              <w:ind w:left="220"/>
              <w:spacing w:after="0" w:line="157" w:lineRule="exact"/>
              <w:rPr>
                <w:sz w:val="20"/>
                <w:szCs w:val="20"/>
                <w:color w:val="auto"/>
              </w:rPr>
            </w:pPr>
            <w:r>
              <w:rPr>
                <w:rFonts w:ascii="Times New Roman" w:cs="Times New Roman" w:eastAsia="Times New Roman" w:hAnsi="Times New Roman"/>
                <w:sz w:val="18"/>
                <w:szCs w:val="18"/>
                <w:color w:val="auto"/>
              </w:rPr>
              <w:t>Second quarter</w:t>
            </w:r>
          </w:p>
        </w:tc>
        <w:tc>
          <w:tcPr>
            <w:tcW w:w="860" w:type="dxa"/>
            <w:vAlign w:val="bottom"/>
          </w:tcPr>
          <w:p>
            <w:pPr>
              <w:spacing w:after="0"/>
              <w:rPr>
                <w:sz w:val="13"/>
                <w:szCs w:val="13"/>
                <w:color w:val="auto"/>
              </w:rPr>
            </w:pPr>
          </w:p>
        </w:tc>
        <w:tc>
          <w:tcPr>
            <w:tcW w:w="48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9.48</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6.51</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7.22</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0.16</w:t>
            </w:r>
          </w:p>
        </w:tc>
      </w:tr>
      <w:tr>
        <w:trPr>
          <w:trHeight w:val="211"/>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First quarter</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12.64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1200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820" w:hanging="320"/>
        <w:spacing w:after="0" w:line="225" w:lineRule="auto"/>
        <w:tabs>
          <w:tab w:leader="none" w:pos="8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dividends are recorded in the period declared. This table reflects the period the dividends were paid.</w:t>
      </w:r>
    </w:p>
    <w:p>
      <w:pPr>
        <w:ind w:left="820" w:right="80" w:hanging="320"/>
        <w:spacing w:after="0" w:line="243" w:lineRule="auto"/>
        <w:tabs>
          <w:tab w:leader="none" w:pos="8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On August 22, 2022, the Company’s board of directors declared a special, one-time $1.50 per share dividend to shareholders of record as of the close of business on September 9, 2022, which was paid on September 30, 2022, returning $8,029 to shareholders.</w:t>
      </w:r>
    </w:p>
    <w:p>
      <w:pPr>
        <w:spacing w:after="0" w:line="15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closing price of the Company’s Series A common stock as reported on The Nasdaq Stock Market LLC on March 6, 2023, was $4.53. The approximate number of shareholders of record of the Company’s Series A and Series B common stock at the close of business on March 6, 2023, was 279 and 68,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Equity Compensation Plan Information</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information set forth under the heading “Equity Compensation Plan Information” contained in the definitive Proxy Statement for the Company’s Annual Meeting of Shareholders, to be held on May 11, 2023 is incorporated herein by reference.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Sales of Unregistered Securities</w:t>
      </w:r>
    </w:p>
    <w:p>
      <w:pPr>
        <w:spacing w:after="0" w:line="189"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During 2022 and 2021, shares of the Company’s Series B common stock in the amounts of 192 and 2,335, respectively, were converted, on a one-for-one basis, into shares of Series A common stock. The Company did not register the issuance of these securities under the Securities Act of 1933 (the “Securities Act”) in reliance upon the exemption under Section 3(a)(9) of the Securities Act.</w:t>
      </w:r>
    </w:p>
    <w:p>
      <w:pPr>
        <w:spacing w:after="0" w:line="200" w:lineRule="exact"/>
        <w:rPr>
          <w:sz w:val="20"/>
          <w:szCs w:val="20"/>
          <w:color w:val="auto"/>
        </w:rPr>
      </w:pPr>
    </w:p>
    <w:p>
      <w:pPr>
        <w:spacing w:after="0" w:line="263" w:lineRule="exact"/>
        <w:rPr>
          <w:sz w:val="20"/>
          <w:szCs w:val="20"/>
          <w:color w:val="auto"/>
        </w:rPr>
      </w:pPr>
    </w:p>
    <w:p>
      <w:pPr>
        <w:jc w:val="right"/>
        <w:spacing w:after="0"/>
        <w:tabs>
          <w:tab w:leader="none" w:pos="600" w:val="left"/>
        </w:tabs>
        <w:rPr>
          <w:sz w:val="20"/>
          <w:szCs w:val="20"/>
          <w:color w:val="auto"/>
        </w:rPr>
      </w:pPr>
      <w:r>
        <w:rPr>
          <w:rFonts w:ascii="Times New Roman" w:cs="Times New Roman" w:eastAsia="Times New Roman" w:hAnsi="Times New Roman"/>
          <w:sz w:val="18"/>
          <w:szCs w:val="18"/>
          <w:color w:val="auto"/>
        </w:rPr>
        <w:t>DallasNews Corporation 2022 Annual Report on Form 10-K</w:t>
      </w:r>
      <w:r>
        <w:rPr>
          <w:sz w:val="20"/>
          <w:szCs w:val="20"/>
          <w:color w:val="auto"/>
        </w:rPr>
        <w:tab/>
      </w:r>
      <w:r>
        <w:rPr>
          <w:rFonts w:ascii="Times New Roman" w:cs="Times New Roman" w:eastAsia="Times New Roman" w:hAnsi="Times New Roman"/>
          <w:sz w:val="17"/>
          <w:szCs w:val="17"/>
          <w:b w:val="1"/>
          <w:bCs w:val="1"/>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221615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8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DallasNews intends for the discussion of its financial condition and results of operations that follows to provide information that will assist in understanding its financial statements, the changes in certain key items in those statements from period to period, and the primary factors that accounted for those changes, as well as how certain accounting principles, policies and estimates affect its financial statements. The following information should be read in conjunction with the Company’s consolidated financial statements and related notes filed as part of this report. All dollar amounts presented herein, except share and per share amounts, are in thousands, unless the context indicates otherwise.</w:t>
      </w:r>
    </w:p>
    <w:p>
      <w:pPr>
        <w:spacing w:after="0" w:line="16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This section and other parts of this Annual Report on Form 10-K contain certain forward-looking statements. Forward-looking statements are subject to risks, uncertainties and other factors that could cause actual results to differ materially from those statements. See the </w:t>
      </w:r>
      <w:r>
        <w:rPr>
          <w:rFonts w:ascii="Times New Roman" w:cs="Times New Roman" w:eastAsia="Times New Roman" w:hAnsi="Times New Roman"/>
          <w:sz w:val="18"/>
          <w:szCs w:val="18"/>
          <w:u w:val="single" w:color="auto"/>
          <w:color w:val="0000FF"/>
        </w:rPr>
        <w:t>Cautionary Statement Concerning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Forward-Looking Statements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this Annual Report for further discussion.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 xml:space="preserve">DallasNews Corporation, formerly A. H. Belo Corporation, and its subsidiaries are referred to collectively herein as “DallasNews” or the “Company.” DallasNews was formed in February 2008 through a spin-off from its former parent company and is registered on The Nasdaq Stock Market LLC (Nasdaq trading symbol: DALN). DallasNews is the Dallas-based holding company of </w:t>
      </w:r>
      <w:r>
        <w:rPr>
          <w:rFonts w:ascii="Times New Roman" w:cs="Times New Roman" w:eastAsia="Times New Roman" w:hAnsi="Times New Roman"/>
          <w:sz w:val="18"/>
          <w:szCs w:val="18"/>
          <w:i w:val="1"/>
          <w:iCs w:val="1"/>
          <w:color w:val="auto"/>
        </w:rPr>
        <w:t>The Dallas Morning News</w:t>
      </w:r>
      <w:r>
        <w:rPr>
          <w:rFonts w:ascii="Times New Roman" w:cs="Times New Roman" w:eastAsia="Times New Roman" w:hAnsi="Times New Roman"/>
          <w:sz w:val="18"/>
          <w:szCs w:val="18"/>
          <w:color w:val="auto"/>
        </w:rPr>
        <w:t xml:space="preserve"> and Medium Giant.</w:t>
      </w:r>
    </w:p>
    <w:p>
      <w:pPr>
        <w:spacing w:after="0" w:line="15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The Company operates </w:t>
      </w:r>
      <w:r>
        <w:rPr>
          <w:rFonts w:ascii="Times New Roman" w:cs="Times New Roman" w:eastAsia="Times New Roman" w:hAnsi="Times New Roman"/>
          <w:sz w:val="18"/>
          <w:szCs w:val="18"/>
          <w:i w:val="1"/>
          <w:iCs w:val="1"/>
          <w:color w:val="auto"/>
        </w:rPr>
        <w:t>The Dallas Morning News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dallasnews.com</w:t>
      </w:r>
      <w:r>
        <w:rPr>
          <w:rFonts w:ascii="Times New Roman" w:cs="Times New Roman" w:eastAsia="Times New Roman" w:hAnsi="Times New Roman"/>
          <w:sz w:val="18"/>
          <w:szCs w:val="18"/>
          <w:color w:val="auto"/>
        </w:rPr>
        <w:t>), Texas’ leading newspaper and winner of nine Pulitzer Prizes, and various niche publications targeting specific audiences. These operations generate revenue from sales of advertising within the Company’s newspaper and digital platforms, subscriptions and retail sales of its newspapers, commercial printing and distribution services primarily related to national newspapers, and preprint advertising.</w:t>
      </w:r>
    </w:p>
    <w:p>
      <w:pPr>
        <w:spacing w:after="0" w:line="160"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In addition, the Company has a full-service agency, Medium Giant, with capabilities including strategy, creative and media management with a focus on strategic and digital marketing, and data intelligence that provide a measurable return on investment to its clients.</w:t>
      </w:r>
    </w:p>
    <w:p>
      <w:pPr>
        <w:spacing w:after="0" w:line="14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transferred its stock exchange listing from the New York Stock Exchange (“NYSE”) to The Nasdaq Stock Market LLC (“Nasdaq”) and changed its corporate name to DallasNews Corporation. The listing and trading of the Company’s Series A common stock on the NYSE ceased trading at market close on June 28, 2021, and began trading on Nasdaq at market open on June 29, 2021, under the ticker symbol “DALN.”</w:t>
      </w:r>
    </w:p>
    <w:p>
      <w:pPr>
        <w:spacing w:after="0" w:line="157"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In May 2021, at the Company’s 2021 annual meeting of shareholders, its shareholders approved a reverse stock split at a ratio of not less than one-for-three and not more than one-for-five, with the exact ratio to be determined by the Company’s board of directors. Following the annual meeting, the Company’s board of directors approved a one-for-four reverse stock split of its issued, outstanding and treasury shares of common stock, par value $0.01 per share, which became effective June 8, 2021. As a result, every four shares of the Company’s issued and outstanding Series A common stock and Series B common stock (and any such shares held in treasury) were converted into one share of Series A common stock and Series B common stock, respectively. All fractional shares were settled in cash, in connection with the reverse stock split, on June 9, 2021. The par value of the Series A and Series B common stock were not adjusted as a result of the reverse stock split and the Company reclassified an amount equal to the reduction in the number of Company shares at par value to additional paid-in capital.</w:t>
      </w:r>
    </w:p>
    <w:p>
      <w:pPr>
        <w:spacing w:after="0" w:line="162"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18"/>
          <w:szCs w:val="18"/>
          <w:color w:val="auto"/>
        </w:rPr>
        <w:t>The Company and its business partners are subject to risks and uncertainties caused by factors beyond its control, including macroeconomic factors such as inflation. Although the Company did not see a significant impact from inflation on its financial results in 2022, the cost of raw materials for newsprint and fuel prices to distribute the newspaper did increase. If inflation remains at current levels, or increases, for an extended period, certain operating costs could increase or advertiser spending could be impacted. Beginning in early 2020, the COVID-19 pandemic impacted, and may continue to impact, the Company’s customers, distribution partners, advertisers, production facilities, and third parties, and could result in additional loss of advertising revenue or supply chain disruption. If the pandemic were to affect a significant number of the workforce employed in printing operations, the Company may experience delays or be unable to produce, print and deliver its publications and other third-party print publications on a timely basis. The Company continues to evaluate for any future material impacts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tabs>
          <w:tab w:leader="none" w:pos="700" w:val="left"/>
        </w:tabs>
        <w:rPr>
          <w:sz w:val="20"/>
          <w:szCs w:val="20"/>
          <w:color w:val="auto"/>
        </w:rPr>
      </w:pPr>
      <w:r>
        <w:rPr>
          <w:rFonts w:ascii="Times New Roman" w:cs="Times New Roman" w:eastAsia="Times New Roman" w:hAnsi="Times New Roman"/>
          <w:sz w:val="18"/>
          <w:szCs w:val="18"/>
          <w:color w:val="auto"/>
        </w:rPr>
        <w:t>DallasNews Corporation 2022 Annual Report on Form 10-K</w:t>
      </w:r>
      <w:r>
        <w:rPr>
          <w:sz w:val="20"/>
          <w:szCs w:val="20"/>
          <w:color w:val="auto"/>
        </w:rPr>
        <w:tab/>
      </w:r>
      <w:r>
        <w:rPr>
          <w:rFonts w:ascii="Times New Roman" w:cs="Times New Roman" w:eastAsia="Times New Roman" w:hAnsi="Times New Roman"/>
          <w:sz w:val="17"/>
          <w:szCs w:val="17"/>
          <w:b w:val="1"/>
          <w:bCs w:val="1"/>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 of Significant Transactions</w:t>
      </w:r>
    </w:p>
    <w:p>
      <w:pPr>
        <w:spacing w:after="0" w:line="18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Operating results for 2022 reflect relative stability in print advertising and circulation revenue. The Company is committed to maintaining the leading digital and print platforms for delivering news of the highest quality and reliability in the North Texas area, as well as creating and developing innovative print and digital marketing services capabilities that address the needs of clients and advertisers. The Company continues its efforts to diversify revenues through its digital platforms for delivery of news and advertising, growing its paid digital subscriptions, and leveraging its brand and personnel to enhance its media agency solutions. However, there is no guarantee the Company will be able to generate enough digital revenue or margin to offset the possible future loss of print advertising and circulation revenue and margin.</w:t>
      </w:r>
    </w:p>
    <w:p>
      <w:pPr>
        <w:spacing w:after="0" w:line="15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Effective June 30, 2022, the Company and Charter DMN Holdings, LP (the “Purchaser”) entered into an agreement (the “Third Modification Agreement”) extending the maturity date of the promissory note of $22,400 (the “Promissory Note”), for the sale of the real estate assets previously used as the Company’s headquarters, to July 29, 2022. The unpaid, original principal balance of the Promissory Note accrued interest at the rate of 6.5 percent. On July 29, 2022, the Company was paid in full, receiving cash proceeds of $22,516, including interest, due from the Purchaser under the Third Modification Agreement.</w:t>
      </w:r>
    </w:p>
    <w:p>
      <w:pPr>
        <w:spacing w:after="0" w:line="16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 xml:space="preserve">During the year ended December 31, 2022, the Company performed a review of potential impairment indicators for its long-lived assets, including property, plant and equipment, and right-of-use assets. The Company determined there was no significant decrease in the market value of the long-lived assets or significant change in the extent or manner in which the asset group is being used or in its physical condition as of December 31, 2022, and there was no significant adverse change in legal factors or in the business climate during the period that could affect the value of the asset group. Based upon the review of indicators, the Company did not identify any events or changes in circumstances that indicate the carrying amount of long-lived assets may not be recoverable. </w:t>
      </w:r>
      <w:r>
        <w:rPr>
          <w:rFonts w:ascii="Times New Roman" w:cs="Times New Roman" w:eastAsia="Times New Roman" w:hAnsi="Times New Roman"/>
          <w:sz w:val="18"/>
          <w:szCs w:val="18"/>
          <w:color w:val="212529"/>
        </w:rPr>
        <w:t>See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Note 3 – Leases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for information on right-of-use asset impairments occurring in 2022 and 2021.</w:t>
      </w: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the third quarter of 2022, the Company made a board approved voluntary contribution of $5,000 to the DallasNews Corporation Pension Plans (the “Pension Plans”) and its board declared a special, one-time $1.50 per share dividend, paid on September 30, 2022, returning $8,029 to shareholders.</w:t>
      </w:r>
    </w:p>
    <w:p>
      <w:pPr>
        <w:spacing w:after="0" w:line="14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Quarterly dividends returned $11,454 and $3,425 to shareholders in 2022 and 2021, respectively. On December 1, 2022, the Company’s board of directors declared a $0.16 per share dividend to shareholders of record as of the close of business on February 10, 2023, paid on March 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tabs>
          <w:tab w:leader="none" w:pos="680" w:val="left"/>
        </w:tabs>
        <w:rPr>
          <w:sz w:val="20"/>
          <w:szCs w:val="20"/>
          <w:color w:val="auto"/>
        </w:rPr>
      </w:pPr>
      <w:r>
        <w:rPr>
          <w:rFonts w:ascii="Times New Roman" w:cs="Times New Roman" w:eastAsia="Times New Roman" w:hAnsi="Times New Roman"/>
          <w:sz w:val="18"/>
          <w:szCs w:val="18"/>
          <w:color w:val="auto"/>
        </w:rPr>
        <w:t>DallasNews Corporation 2022 Annual Report on Form 10-K</w:t>
      </w:r>
      <w:r>
        <w:rPr>
          <w:sz w:val="20"/>
          <w:szCs w:val="20"/>
          <w:color w:val="auto"/>
        </w:rPr>
        <w:tab/>
      </w:r>
      <w:r>
        <w:rPr>
          <w:rFonts w:ascii="Times New Roman" w:cs="Times New Roman" w:eastAsia="Times New Roman" w:hAnsi="Times New Roman"/>
          <w:sz w:val="17"/>
          <w:szCs w:val="17"/>
          <w:b w:val="1"/>
          <w:bCs w:val="1"/>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221615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This section contains discussion and analysis of net operating revenue, operating costs and expense and other information relevant to an understanding of results of operations for 2022 and 2021. Based on how the Company’s chief operating decision-maker makes decisions about allocating resources and assessing performance, the Company determined it has one reportable segment.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components of DallasNews’ operating loss.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40" w:type="dxa"/>
            <w:vAlign w:val="bottom"/>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980" w:type="dxa"/>
            <w:vAlign w:val="bottom"/>
            <w:tcBorders>
              <w:top w:val="single" w:sz="8" w:color="auto"/>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Years Ended December 31,</w:t>
            </w:r>
          </w:p>
        </w:tc>
        <w:tc>
          <w:tcPr>
            <w:tcW w:w="2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240" w:type="dxa"/>
            <w:vAlign w:val="bottom"/>
          </w:tcPr>
          <w:p>
            <w:pPr>
              <w:spacing w:after="0"/>
              <w:rPr>
                <w:sz w:val="11"/>
                <w:szCs w:val="11"/>
                <w:color w:val="auto"/>
              </w:rPr>
            </w:pPr>
          </w:p>
        </w:tc>
        <w:tc>
          <w:tcPr>
            <w:tcW w:w="19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Percentage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vMerge w:val="restart"/>
          </w:tcPr>
          <w:p>
            <w:pPr>
              <w:jc w:val="right"/>
              <w:ind w:right="633"/>
              <w:spacing w:after="0"/>
              <w:rPr>
                <w:sz w:val="20"/>
                <w:szCs w:val="20"/>
                <w:color w:val="auto"/>
              </w:rPr>
            </w:pPr>
            <w:r>
              <w:rPr>
                <w:rFonts w:ascii="Times New Roman" w:cs="Times New Roman" w:eastAsia="Times New Roman" w:hAnsi="Times New Roman"/>
                <w:sz w:val="14"/>
                <w:szCs w:val="14"/>
                <w:b w:val="1"/>
                <w:bCs w:val="1"/>
                <w:i w:val="1"/>
                <w:iCs w:val="1"/>
                <w:color w:val="auto"/>
              </w:rPr>
              <w:t>2021</w:t>
            </w:r>
          </w:p>
        </w:tc>
        <w:tc>
          <w:tcPr>
            <w:tcW w:w="0" w:type="dxa"/>
            <w:vAlign w:val="bottom"/>
          </w:tcPr>
          <w:p>
            <w:pPr>
              <w:spacing w:after="0"/>
              <w:rPr>
                <w:sz w:val="1"/>
                <w:szCs w:val="1"/>
                <w:color w:val="auto"/>
              </w:rPr>
            </w:pPr>
          </w:p>
        </w:tc>
      </w:tr>
      <w:tr>
        <w:trPr>
          <w:trHeight w:val="182"/>
        </w:trPr>
        <w:tc>
          <w:tcPr>
            <w:tcW w:w="5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Change‎</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40" w:type="dxa"/>
            <w:vAlign w:val="bottom"/>
            <w:tcBorders>
              <w:top w:val="single" w:sz="8" w:color="auto"/>
            </w:tcBorders>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Advertising and marketing services</w:t>
            </w:r>
          </w:p>
        </w:tc>
        <w:tc>
          <w:tcPr>
            <w:tcW w:w="480" w:type="dxa"/>
            <w:vAlign w:val="bottom"/>
            <w:tcBorders>
              <w:top w:val="single" w:sz="8" w:color="auto"/>
            </w:tcBorders>
            <w:shd w:val="clear" w:color="auto" w:fill="CCEEFF"/>
          </w:tcPr>
          <w:p>
            <w:pPr>
              <w:jc w:val="right"/>
              <w:ind w:right="29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69,667</w:t>
            </w:r>
          </w:p>
        </w:tc>
        <w:tc>
          <w:tcPr>
            <w:tcW w:w="24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(4.9) %</w:t>
            </w:r>
          </w:p>
        </w:tc>
        <w:tc>
          <w:tcPr>
            <w:tcW w:w="2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73,271</w:t>
            </w:r>
          </w:p>
        </w:tc>
        <w:tc>
          <w:tcPr>
            <w:tcW w:w="0" w:type="dxa"/>
            <w:vAlign w:val="bottom"/>
          </w:tcPr>
          <w:p>
            <w:pPr>
              <w:spacing w:after="0"/>
              <w:rPr>
                <w:sz w:val="1"/>
                <w:szCs w:val="1"/>
                <w:color w:val="auto"/>
              </w:rPr>
            </w:pPr>
          </w:p>
        </w:tc>
      </w:tr>
      <w:tr>
        <w:trPr>
          <w:trHeight w:val="189"/>
        </w:trPr>
        <w:tc>
          <w:tcPr>
            <w:tcW w:w="554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Circulation</w:t>
            </w:r>
          </w:p>
        </w:tc>
        <w:tc>
          <w:tcPr>
            <w:tcW w:w="48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65,191</w:t>
            </w:r>
          </w:p>
        </w:tc>
        <w:tc>
          <w:tcPr>
            <w:tcW w:w="240" w:type="dxa"/>
            <w:vAlign w:val="bottom"/>
          </w:tcPr>
          <w:p>
            <w:pPr>
              <w:spacing w:after="0"/>
              <w:rPr>
                <w:sz w:val="16"/>
                <w:szCs w:val="16"/>
                <w:color w:val="auto"/>
              </w:rPr>
            </w:pPr>
          </w:p>
        </w:tc>
        <w:tc>
          <w:tcPr>
            <w:tcW w:w="17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0.4  %</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64,943</w:t>
            </w:r>
          </w:p>
        </w:tc>
        <w:tc>
          <w:tcPr>
            <w:tcW w:w="0" w:type="dxa"/>
            <w:vAlign w:val="bottom"/>
          </w:tcPr>
          <w:p>
            <w:pPr>
              <w:spacing w:after="0"/>
              <w:rPr>
                <w:sz w:val="1"/>
                <w:szCs w:val="1"/>
                <w:color w:val="auto"/>
              </w:rPr>
            </w:pPr>
          </w:p>
        </w:tc>
      </w:tr>
      <w:tr>
        <w:trPr>
          <w:trHeight w:val="209"/>
        </w:trPr>
        <w:tc>
          <w:tcPr>
            <w:tcW w:w="5540" w:type="dxa"/>
            <w:vAlign w:val="bottom"/>
            <w:tcBorders>
              <w:bottom w:val="single" w:sz="8" w:color="CCEEFF"/>
            </w:tcBorders>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Printing, distribution and other</w:t>
            </w:r>
          </w:p>
        </w:tc>
        <w:tc>
          <w:tcPr>
            <w:tcW w:w="4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15,793</w:t>
            </w:r>
          </w:p>
        </w:tc>
        <w:tc>
          <w:tcPr>
            <w:tcW w:w="24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(2.3) %</w:t>
            </w:r>
          </w:p>
        </w:tc>
        <w:tc>
          <w:tcPr>
            <w:tcW w:w="2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16,160</w:t>
            </w:r>
          </w:p>
        </w:tc>
        <w:tc>
          <w:tcPr>
            <w:tcW w:w="0" w:type="dxa"/>
            <w:vAlign w:val="bottom"/>
          </w:tcPr>
          <w:p>
            <w:pPr>
              <w:spacing w:after="0"/>
              <w:rPr>
                <w:sz w:val="1"/>
                <w:szCs w:val="1"/>
                <w:color w:val="auto"/>
              </w:rPr>
            </w:pPr>
          </w:p>
        </w:tc>
      </w:tr>
      <w:tr>
        <w:trPr>
          <w:trHeight w:val="176"/>
        </w:trPr>
        <w:tc>
          <w:tcPr>
            <w:tcW w:w="55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b w:val="1"/>
                <w:bCs w:val="1"/>
                <w:color w:val="auto"/>
              </w:rPr>
              <w:t>Total Net Operating Revenue</w:t>
            </w:r>
          </w:p>
        </w:tc>
        <w:tc>
          <w:tcPr>
            <w:tcW w:w="4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150,651</w:t>
            </w:r>
          </w:p>
        </w:tc>
        <w:tc>
          <w:tcPr>
            <w:tcW w:w="240" w:type="dxa"/>
            <w:vAlign w:val="bottom"/>
          </w:tcPr>
          <w:p>
            <w:pPr>
              <w:spacing w:after="0"/>
              <w:rPr>
                <w:sz w:val="15"/>
                <w:szCs w:val="15"/>
                <w:color w:val="auto"/>
              </w:rPr>
            </w:pPr>
          </w:p>
        </w:tc>
        <w:tc>
          <w:tcPr>
            <w:tcW w:w="17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(2.4) %</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154,374</w:t>
            </w:r>
          </w:p>
        </w:tc>
        <w:tc>
          <w:tcPr>
            <w:tcW w:w="0" w:type="dxa"/>
            <w:vAlign w:val="bottom"/>
          </w:tcPr>
          <w:p>
            <w:pPr>
              <w:spacing w:after="0"/>
              <w:rPr>
                <w:sz w:val="1"/>
                <w:szCs w:val="1"/>
                <w:color w:val="auto"/>
              </w:rPr>
            </w:pPr>
          </w:p>
        </w:tc>
      </w:tr>
      <w:tr>
        <w:trPr>
          <w:trHeight w:val="189"/>
        </w:trPr>
        <w:tc>
          <w:tcPr>
            <w:tcW w:w="55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b w:val="1"/>
                <w:bCs w:val="1"/>
                <w:color w:val="auto"/>
              </w:rPr>
              <w:t>Total Operating Costs and Expense</w:t>
            </w:r>
          </w:p>
        </w:tc>
        <w:tc>
          <w:tcPr>
            <w:tcW w:w="48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159,638</w:t>
            </w:r>
          </w:p>
        </w:tc>
        <w:tc>
          <w:tcPr>
            <w:tcW w:w="240" w:type="dxa"/>
            <w:vAlign w:val="bottom"/>
          </w:tcPr>
          <w:p>
            <w:pPr>
              <w:spacing w:after="0"/>
              <w:rPr>
                <w:sz w:val="16"/>
                <w:szCs w:val="16"/>
                <w:color w:val="auto"/>
              </w:rPr>
            </w:pPr>
          </w:p>
        </w:tc>
        <w:tc>
          <w:tcPr>
            <w:tcW w:w="17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(2.9) %</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164,324</w:t>
            </w:r>
          </w:p>
        </w:tc>
        <w:tc>
          <w:tcPr>
            <w:tcW w:w="0" w:type="dxa"/>
            <w:vAlign w:val="bottom"/>
          </w:tcPr>
          <w:p>
            <w:pPr>
              <w:spacing w:after="0"/>
              <w:rPr>
                <w:sz w:val="1"/>
                <w:szCs w:val="1"/>
                <w:color w:val="auto"/>
              </w:rPr>
            </w:pPr>
          </w:p>
        </w:tc>
      </w:tr>
      <w:tr>
        <w:trPr>
          <w:trHeight w:val="209"/>
        </w:trPr>
        <w:tc>
          <w:tcPr>
            <w:tcW w:w="55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54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b w:val="1"/>
                <w:bCs w:val="1"/>
                <w:color w:val="auto"/>
              </w:rPr>
              <w:t>Operating Loss</w:t>
            </w:r>
          </w:p>
        </w:tc>
        <w:tc>
          <w:tcPr>
            <w:tcW w:w="480" w:type="dxa"/>
            <w:vAlign w:val="bottom"/>
            <w:tcBorders>
              <w:bottom w:val="single" w:sz="8" w:color="auto"/>
            </w:tcBorders>
          </w:tcPr>
          <w:p>
            <w:pPr>
              <w:jc w:val="right"/>
              <w:ind w:right="29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(8,987)</w:t>
            </w:r>
          </w:p>
        </w:tc>
        <w:tc>
          <w:tcPr>
            <w:tcW w:w="240" w:type="dxa"/>
            <w:vAlign w:val="bottom"/>
          </w:tcPr>
          <w:p>
            <w:pPr>
              <w:spacing w:after="0"/>
              <w:rPr>
                <w:sz w:val="15"/>
                <w:szCs w:val="15"/>
                <w:color w:val="auto"/>
              </w:rPr>
            </w:pPr>
          </w:p>
        </w:tc>
        <w:tc>
          <w:tcPr>
            <w:tcW w:w="17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9.7 %</w:t>
            </w:r>
          </w:p>
        </w:tc>
        <w:tc>
          <w:tcPr>
            <w:tcW w:w="2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(9,950)</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Traditionally, the Company’s primary revenues are generated from advertising within its core newspapers, niche publications and related websites and from subscription and single copy sales of its printed newspapers. As a result of competitive and economic conditions, the newspaper industry has faced a significant revenue decline over the past decade. Therefore, the Company has sought to diversify its revenues through development and investment in new product offerings, increased circulation rates and leveraging of its existing assets to offer cost efficient commercial printing and distribution services. The Company continually evaluates the overall performance of its core products to ensure existing assets are deployed adequately to maximize return.</w:t>
      </w:r>
    </w:p>
    <w:p>
      <w:pPr>
        <w:spacing w:after="0" w:line="16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Company’s advertising revenue from its core newspapers continues to be adversely affected by the shift of advertiser spending to other forms of media and the increased accessibility of free online news content, as well as news content from other sources, which resulted in declines in advertising and paid print circulation volumes and revenue. Decreases in print display and classified categories are indicative of continuing trends by advertisers towards digital platforms, which are widely available from many sources. In the current environment, companies are allocating more of their advertising spending towards programmatic channels that provide digital advertising on multiple platforms with enhanced technology for targeted delivery and measurement.</w:t>
      </w:r>
    </w:p>
    <w:p>
      <w:pPr>
        <w:spacing w:after="0" w:line="161"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18"/>
          <w:szCs w:val="18"/>
          <w:color w:val="auto"/>
        </w:rPr>
        <w:t>In response to the decline in print revenue, the Company has developed agency capabilities, including strategy, creative and media management with a focus on strategic and digital marketing, and data intelligence that provide a measurable return on investment to its clients. The Company leverages its news content to improve engagement on the Company’s digital platforms that results in increased digital subscriptions and associated revenue. The Company also continues to diversify its revenue base by leveraging the available capacity of its existing assets to provide print and distribution services for newspapers and other customers requiring these services, by introducing new advertising and marketing services products, and by increasing circulation prices.</w:t>
      </w:r>
    </w:p>
    <w:p>
      <w:pPr>
        <w:spacing w:after="0" w:line="15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Because of declining print circulation, the Company has developed broad digital strategies designed to provide readers with multiple platforms for obtaining online access to local news. The Company continues to obtain additional key demographic data from readers, which allows the Company to provide content desired by readers and to modify marketing and distribution strategies to target and reach audiences valued by advertisers. The Company has access to programmatic digital advertising platforms that provide digital ad placement and targeting efficiencies and increases utilization of digital inventory within the Company’s websites. Additionally, in order to optimize owned and operated digital advertising revenue, the Company has adopted a holistic yield management approach powered by real-time bidding technologies and data analysis to ensure the optimal mix of direct sales and programmatic ad sales is achieved.</w:t>
      </w:r>
    </w:p>
    <w:p>
      <w:pPr>
        <w:spacing w:after="0" w:line="200" w:lineRule="exact"/>
        <w:rPr>
          <w:sz w:val="20"/>
          <w:szCs w:val="20"/>
          <w:color w:val="auto"/>
        </w:rPr>
      </w:pPr>
    </w:p>
    <w:p>
      <w:pPr>
        <w:spacing w:after="0" w:line="278" w:lineRule="exact"/>
        <w:rPr>
          <w:sz w:val="20"/>
          <w:szCs w:val="20"/>
          <w:color w:val="auto"/>
        </w:rPr>
      </w:pPr>
    </w:p>
    <w:p>
      <w:pPr>
        <w:jc w:val="right"/>
        <w:spacing w:after="0"/>
        <w:tabs>
          <w:tab w:leader="none" w:pos="700" w:val="left"/>
        </w:tabs>
        <w:rPr>
          <w:sz w:val="20"/>
          <w:szCs w:val="20"/>
          <w:color w:val="auto"/>
        </w:rPr>
      </w:pPr>
      <w:r>
        <w:rPr>
          <w:rFonts w:ascii="Times New Roman" w:cs="Times New Roman" w:eastAsia="Times New Roman" w:hAnsi="Times New Roman"/>
          <w:sz w:val="18"/>
          <w:szCs w:val="18"/>
          <w:color w:val="auto"/>
        </w:rPr>
        <w:t>DallasNews Corporation 2022 Annual Report on Form 10-K</w:t>
      </w:r>
      <w:r>
        <w:rPr>
          <w:sz w:val="20"/>
          <w:szCs w:val="20"/>
          <w:color w:val="auto"/>
        </w:rPr>
        <w:tab/>
      </w:r>
      <w:r>
        <w:rPr>
          <w:rFonts w:ascii="Times New Roman" w:cs="Times New Roman" w:eastAsia="Times New Roman" w:hAnsi="Times New Roman"/>
          <w:sz w:val="17"/>
          <w:szCs w:val="17"/>
          <w:b w:val="1"/>
          <w:bCs w:val="1"/>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and marketing services revenue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and marketing services revenue was 46.2 percent and 47.4 percent of total revenue for 2022 and 2021, respectively.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82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Years Ended December 31,</w:t>
            </w:r>
          </w:p>
        </w:tc>
        <w:tc>
          <w:tcPr>
            <w:tcW w:w="28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4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vMerge w:val="restart"/>
          </w:tcPr>
          <w:p>
            <w:pPr>
              <w:jc w:val="right"/>
              <w:ind w:right="555"/>
              <w:spacing w:after="0"/>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260" w:type="dxa"/>
            <w:vAlign w:val="bottom"/>
          </w:tcPr>
          <w:p>
            <w:pPr>
              <w:spacing w:after="0"/>
              <w:rPr>
                <w:sz w:val="10"/>
                <w:szCs w:val="10"/>
                <w:color w:val="auto"/>
              </w:rPr>
            </w:pPr>
          </w:p>
        </w:tc>
        <w:tc>
          <w:tcPr>
            <w:tcW w:w="1580" w:type="dxa"/>
            <w:vAlign w:val="bottom"/>
          </w:tcPr>
          <w:p>
            <w:pPr>
              <w:jc w:val="center"/>
              <w:ind w:left="164"/>
              <w:spacing w:after="0" w:line="122" w:lineRule="exact"/>
              <w:rPr>
                <w:sz w:val="20"/>
                <w:szCs w:val="20"/>
                <w:color w:val="auto"/>
              </w:rPr>
            </w:pPr>
            <w:r>
              <w:rPr>
                <w:rFonts w:ascii="Times New Roman" w:cs="Times New Roman" w:eastAsia="Times New Roman" w:hAnsi="Times New Roman"/>
                <w:sz w:val="14"/>
                <w:szCs w:val="14"/>
                <w:b w:val="1"/>
                <w:bCs w:val="1"/>
                <w:i w:val="1"/>
                <w:iCs w:val="1"/>
                <w:color w:val="auto"/>
              </w:rPr>
              <w:t>Percentage</w:t>
            </w: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0" w:type="dxa"/>
            <w:vAlign w:val="bottom"/>
            <w:vMerge w:val="restart"/>
          </w:tcPr>
          <w:p>
            <w:pPr>
              <w:jc w:val="right"/>
              <w:ind w:right="675"/>
              <w:spacing w:after="0"/>
              <w:rPr>
                <w:sz w:val="20"/>
                <w:szCs w:val="20"/>
                <w:color w:val="auto"/>
              </w:rPr>
            </w:pPr>
            <w:r>
              <w:rPr>
                <w:rFonts w:ascii="Times New Roman" w:cs="Times New Roman" w:eastAsia="Times New Roman" w:hAnsi="Times New Roman"/>
                <w:sz w:val="14"/>
                <w:szCs w:val="14"/>
                <w:b w:val="1"/>
                <w:bCs w:val="1"/>
                <w:i w:val="1"/>
                <w:iCs w:val="1"/>
                <w:color w:val="auto"/>
              </w:rPr>
              <w:t>2021</w:t>
            </w:r>
          </w:p>
        </w:tc>
        <w:tc>
          <w:tcPr>
            <w:tcW w:w="0" w:type="dxa"/>
            <w:vAlign w:val="bottom"/>
          </w:tcPr>
          <w:p>
            <w:pPr>
              <w:spacing w:after="0"/>
              <w:rPr>
                <w:sz w:val="1"/>
                <w:szCs w:val="1"/>
                <w:color w:val="auto"/>
              </w:rPr>
            </w:pPr>
          </w:p>
        </w:tc>
      </w:tr>
      <w:tr>
        <w:trPr>
          <w:trHeight w:val="196"/>
        </w:trPr>
        <w:tc>
          <w:tcPr>
            <w:tcW w:w="4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center"/>
              <w:ind w:left="164"/>
              <w:spacing w:after="0"/>
              <w:rPr>
                <w:sz w:val="20"/>
                <w:szCs w:val="20"/>
                <w:color w:val="auto"/>
              </w:rPr>
            </w:pPr>
            <w:r>
              <w:rPr>
                <w:rFonts w:ascii="Times New Roman" w:cs="Times New Roman" w:eastAsia="Times New Roman" w:hAnsi="Times New Roman"/>
                <w:sz w:val="14"/>
                <w:szCs w:val="14"/>
                <w:b w:val="1"/>
                <w:bCs w:val="1"/>
                <w:i w:val="1"/>
                <w:iCs w:val="1"/>
                <w:color w:val="auto"/>
              </w:rPr>
              <w:t>Change‎</w:t>
            </w:r>
          </w:p>
        </w:tc>
        <w:tc>
          <w:tcPr>
            <w:tcW w:w="240" w:type="dxa"/>
            <w:vAlign w:val="bottom"/>
            <w:tcBorders>
              <w:bottom w:val="single" w:sz="8" w:color="auto"/>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Print advertising</w:t>
            </w:r>
          </w:p>
        </w:tc>
        <w:tc>
          <w:tcPr>
            <w:tcW w:w="1520" w:type="dxa"/>
            <w:vAlign w:val="bottom"/>
            <w:gridSpan w:val="2"/>
            <w:shd w:val="clear" w:color="auto" w:fill="CCEEFF"/>
          </w:tcPr>
          <w:p>
            <w:pPr>
              <w:jc w:val="right"/>
              <w:ind w:right="31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44,802</w:t>
            </w:r>
          </w:p>
        </w:tc>
        <w:tc>
          <w:tcPr>
            <w:tcW w:w="260" w:type="dxa"/>
            <w:vAlign w:val="bottom"/>
            <w:shd w:val="clear" w:color="auto" w:fill="CCEEFF"/>
          </w:tcPr>
          <w:p>
            <w:pPr>
              <w:spacing w:after="0"/>
              <w:rPr>
                <w:sz w:val="16"/>
                <w:szCs w:val="16"/>
                <w:color w:val="auto"/>
              </w:rPr>
            </w:pPr>
          </w:p>
        </w:tc>
        <w:tc>
          <w:tcPr>
            <w:tcW w:w="1580" w:type="dxa"/>
            <w:vAlign w:val="bottom"/>
            <w:shd w:val="clear" w:color="auto" w:fill="CCEEFF"/>
          </w:tcPr>
          <w:p>
            <w:pPr>
              <w:ind w:left="1220"/>
              <w:spacing w:after="0" w:line="189" w:lineRule="exact"/>
              <w:rPr>
                <w:sz w:val="20"/>
                <w:szCs w:val="20"/>
                <w:color w:val="auto"/>
              </w:rPr>
            </w:pPr>
            <w:r>
              <w:rPr>
                <w:rFonts w:ascii="Times New Roman" w:cs="Times New Roman" w:eastAsia="Times New Roman" w:hAnsi="Times New Roman"/>
                <w:sz w:val="18"/>
                <w:szCs w:val="18"/>
                <w:color w:val="auto"/>
                <w:w w:val="98"/>
              </w:rPr>
              <w:t>(5.6)</w:t>
            </w:r>
          </w:p>
        </w:tc>
        <w:tc>
          <w:tcPr>
            <w:tcW w:w="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47,483</w:t>
            </w:r>
          </w:p>
        </w:tc>
        <w:tc>
          <w:tcPr>
            <w:tcW w:w="0" w:type="dxa"/>
            <w:vAlign w:val="bottom"/>
          </w:tcPr>
          <w:p>
            <w:pPr>
              <w:spacing w:after="0"/>
              <w:rPr>
                <w:sz w:val="1"/>
                <w:szCs w:val="1"/>
                <w:color w:val="auto"/>
              </w:rPr>
            </w:pPr>
          </w:p>
        </w:tc>
      </w:tr>
      <w:tr>
        <w:trPr>
          <w:trHeight w:val="196"/>
        </w:trPr>
        <w:tc>
          <w:tcPr>
            <w:tcW w:w="4200" w:type="dxa"/>
            <w:vAlign w:val="bottom"/>
            <w:tcBorders>
              <w:bottom w:val="single" w:sz="8" w:color="CCEEFF"/>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Digital advertising and marketing services</w:t>
            </w:r>
          </w:p>
        </w:tc>
        <w:tc>
          <w:tcPr>
            <w:tcW w:w="104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24,865</w:t>
            </w:r>
          </w:p>
        </w:tc>
        <w:tc>
          <w:tcPr>
            <w:tcW w:w="1840" w:type="dxa"/>
            <w:vAlign w:val="bottom"/>
            <w:tcBorders>
              <w:bottom w:val="single" w:sz="8" w:color="CCEEFF"/>
            </w:tcBorders>
            <w:gridSpan w:val="2"/>
          </w:tcPr>
          <w:p>
            <w:pPr>
              <w:ind w:left="1480"/>
              <w:spacing w:after="0" w:line="189" w:lineRule="exact"/>
              <w:rPr>
                <w:sz w:val="20"/>
                <w:szCs w:val="20"/>
                <w:color w:val="auto"/>
              </w:rPr>
            </w:pPr>
            <w:r>
              <w:rPr>
                <w:rFonts w:ascii="Times New Roman" w:cs="Times New Roman" w:eastAsia="Times New Roman" w:hAnsi="Times New Roman"/>
                <w:sz w:val="18"/>
                <w:szCs w:val="18"/>
                <w:color w:val="auto"/>
                <w:w w:val="98"/>
              </w:rPr>
              <w:t>(3.6)</w:t>
            </w:r>
          </w:p>
        </w:tc>
        <w:tc>
          <w:tcPr>
            <w:tcW w:w="240" w:type="dxa"/>
            <w:vAlign w:val="bottom"/>
            <w:tcBorders>
              <w:bottom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25,788</w:t>
            </w:r>
          </w:p>
        </w:tc>
        <w:tc>
          <w:tcPr>
            <w:tcW w:w="0" w:type="dxa"/>
            <w:vAlign w:val="bottom"/>
          </w:tcPr>
          <w:p>
            <w:pPr>
              <w:spacing w:after="0"/>
              <w:rPr>
                <w:sz w:val="1"/>
                <w:szCs w:val="1"/>
                <w:color w:val="auto"/>
              </w:rPr>
            </w:pPr>
          </w:p>
        </w:tc>
      </w:tr>
      <w:tr>
        <w:trPr>
          <w:trHeight w:val="189"/>
        </w:trPr>
        <w:tc>
          <w:tcPr>
            <w:tcW w:w="4200" w:type="dxa"/>
            <w:vAlign w:val="bottom"/>
            <w:tcBorders>
              <w:bottom w:val="single" w:sz="8" w:color="CCEEFF"/>
            </w:tcBorders>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b w:val="1"/>
                <w:bCs w:val="1"/>
                <w:color w:val="auto"/>
              </w:rPr>
              <w:t>Advertising and Marketing Services</w:t>
            </w:r>
          </w:p>
        </w:tc>
        <w:tc>
          <w:tcPr>
            <w:tcW w:w="10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16"/>
              <w:spacing w:after="0" w:line="189"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3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69,667</w:t>
            </w:r>
          </w:p>
        </w:tc>
        <w:tc>
          <w:tcPr>
            <w:tcW w:w="2080" w:type="dxa"/>
            <w:vAlign w:val="bottom"/>
            <w:tcBorders>
              <w:bottom w:val="single" w:sz="8" w:color="CCEEFF"/>
            </w:tcBorders>
            <w:gridSpan w:val="3"/>
            <w:shd w:val="clear" w:color="auto" w:fill="CCEEFF"/>
          </w:tcPr>
          <w:p>
            <w:pPr>
              <w:ind w:left="1480"/>
              <w:spacing w:after="0" w:line="189" w:lineRule="exact"/>
              <w:rPr>
                <w:sz w:val="20"/>
                <w:szCs w:val="20"/>
                <w:color w:val="auto"/>
              </w:rPr>
            </w:pPr>
            <w:r>
              <w:rPr>
                <w:rFonts w:ascii="Times New Roman" w:cs="Times New Roman" w:eastAsia="Times New Roman" w:hAnsi="Times New Roman"/>
                <w:sz w:val="18"/>
                <w:szCs w:val="18"/>
                <w:b w:val="1"/>
                <w:bCs w:val="1"/>
                <w:color w:val="auto"/>
              </w:rPr>
              <w:t>(4.9) %</w:t>
            </w:r>
          </w:p>
        </w:tc>
        <w:tc>
          <w:tcPr>
            <w:tcW w:w="2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56"/>
              <w:spacing w:after="0" w:line="189"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73,271</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Print advertising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advertising is comprised of display, classified and preprint advertising revenue.</w:t>
      </w:r>
    </w:p>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Display and classified print revenue primarily represents sales of advertising space within the Company’s core and niche newspapers. As advertisers continue to diversify marketing budgets to incorporate more and varied avenues of reaching consumers, traditional display and classified advertising continues to be impacted. In 2022, display and classified print advertising revenue increased $646, primarily due to volume increases in display and employment classified advertisements.</w:t>
      </w:r>
    </w:p>
    <w:p>
      <w:pPr>
        <w:spacing w:after="0" w:line="15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Preprint advertising revenue primarily reflects preprinted advertisements inserted into the Company’s core newspapers, niche publications, and distributed to publications in other markets, or distributed to non-subscribers through the mail or through third-party distributors to households in targeted areas in order to provide total market coverage for advertisers. Preprint advertising also includes other services revenue related to the Company’s niche publications. In 2022, revenue decreased $3,327, primarily due to a volume decline in preprinted advertisements and reduced advertiser spending. A trend we expect to continue.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Digital advertising and marketing services</w:t>
      </w:r>
    </w:p>
    <w:p>
      <w:pPr>
        <w:spacing w:after="0" w:line="18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Digital advertising and marketing services revenue consists of strategic marketing services, consulting, branding, paid media strategy and management, creative services, search optimization, direct mail and the sale of promotional materials, as well as providing multi-channel marketing solutions through subscription sales of the Company’s cloud-based software. In addition, it includes digital sales of banner, classified and native advertisements on the Company’s news and entertainment-related websites and mobile apps, as well as targeted and multi-channel (programmatic) advertising placed on third-party websites. In 2022, revenue decreased $923 due to declines in direct mail, the sale of promotional materials and paid media strategy and management clients, partially offset by an increase in strategic marketing services resulting from the start of new contracts.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Circulation revenue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Circulation revenue was 43.3 percent and 42.1 percent of total revenue for 2022 and 2021, respectively.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82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Years Ended December 31,</w:t>
            </w:r>
          </w:p>
        </w:tc>
        <w:tc>
          <w:tcPr>
            <w:tcW w:w="28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3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60" w:type="dxa"/>
            <w:vAlign w:val="bottom"/>
          </w:tcPr>
          <w:p>
            <w:pPr>
              <w:jc w:val="center"/>
              <w:ind w:left="184"/>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Percentage</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0" w:type="dxa"/>
            <w:vAlign w:val="bottom"/>
            <w:vMerge w:val="restart"/>
          </w:tcPr>
          <w:p>
            <w:pPr>
              <w:jc w:val="right"/>
              <w:ind w:right="675"/>
              <w:spacing w:after="0"/>
              <w:rPr>
                <w:sz w:val="20"/>
                <w:szCs w:val="20"/>
                <w:color w:val="auto"/>
              </w:rPr>
            </w:pPr>
            <w:r>
              <w:rPr>
                <w:rFonts w:ascii="Times New Roman" w:cs="Times New Roman" w:eastAsia="Times New Roman" w:hAnsi="Times New Roman"/>
                <w:sz w:val="14"/>
                <w:szCs w:val="14"/>
                <w:b w:val="1"/>
                <w:bCs w:val="1"/>
                <w:i w:val="1"/>
                <w:iCs w:val="1"/>
                <w:color w:val="auto"/>
              </w:rPr>
              <w:t>2021</w:t>
            </w:r>
          </w:p>
        </w:tc>
        <w:tc>
          <w:tcPr>
            <w:tcW w:w="0" w:type="dxa"/>
            <w:vAlign w:val="bottom"/>
          </w:tcPr>
          <w:p>
            <w:pPr>
              <w:spacing w:after="0"/>
              <w:rPr>
                <w:sz w:val="1"/>
                <w:szCs w:val="1"/>
                <w:color w:val="auto"/>
              </w:rPr>
            </w:pPr>
          </w:p>
        </w:tc>
      </w:tr>
      <w:tr>
        <w:trPr>
          <w:trHeight w:val="182"/>
        </w:trPr>
        <w:tc>
          <w:tcPr>
            <w:tcW w:w="332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2"/>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ind w:left="184"/>
              <w:spacing w:after="0"/>
              <w:rPr>
                <w:sz w:val="20"/>
                <w:szCs w:val="20"/>
                <w:color w:val="auto"/>
              </w:rPr>
            </w:pPr>
            <w:r>
              <w:rPr>
                <w:rFonts w:ascii="Times New Roman" w:cs="Times New Roman" w:eastAsia="Times New Roman" w:hAnsi="Times New Roman"/>
                <w:sz w:val="14"/>
                <w:szCs w:val="14"/>
                <w:b w:val="1"/>
                <w:bCs w:val="1"/>
                <w:i w:val="1"/>
                <w:iCs w:val="1"/>
                <w:color w:val="auto"/>
              </w:rPr>
              <w:t>Change‎</w:t>
            </w:r>
          </w:p>
        </w:tc>
        <w:tc>
          <w:tcPr>
            <w:tcW w:w="26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Print circulation</w:t>
            </w:r>
          </w:p>
        </w:tc>
        <w:tc>
          <w:tcPr>
            <w:tcW w:w="3140" w:type="dxa"/>
            <w:vAlign w:val="bottom"/>
            <w:gridSpan w:val="2"/>
            <w:shd w:val="clear" w:color="auto" w:fill="CCEEFF"/>
          </w:tcPr>
          <w:p>
            <w:pPr>
              <w:jc w:val="right"/>
              <w:ind w:right="1056"/>
              <w:spacing w:after="0" w:line="189"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52,045</w:t>
            </w:r>
          </w:p>
        </w:tc>
        <w:tc>
          <w:tcPr>
            <w:tcW w:w="26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(6.0) %</w:t>
            </w: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55,339</w:t>
            </w:r>
          </w:p>
        </w:tc>
        <w:tc>
          <w:tcPr>
            <w:tcW w:w="0" w:type="dxa"/>
            <w:vAlign w:val="bottom"/>
          </w:tcPr>
          <w:p>
            <w:pPr>
              <w:spacing w:after="0"/>
              <w:rPr>
                <w:sz w:val="1"/>
                <w:szCs w:val="1"/>
                <w:color w:val="auto"/>
              </w:rPr>
            </w:pPr>
          </w:p>
        </w:tc>
      </w:tr>
      <w:tr>
        <w:trPr>
          <w:trHeight w:val="196"/>
        </w:trPr>
        <w:tc>
          <w:tcPr>
            <w:tcW w:w="3320" w:type="dxa"/>
            <w:vAlign w:val="bottom"/>
            <w:tcBorders>
              <w:bottom w:val="single" w:sz="8" w:color="CCEEFF"/>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Digital circulation</w:t>
            </w:r>
          </w:p>
        </w:tc>
        <w:tc>
          <w:tcPr>
            <w:tcW w:w="19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13,146</w:t>
            </w:r>
          </w:p>
        </w:tc>
        <w:tc>
          <w:tcPr>
            <w:tcW w:w="1820" w:type="dxa"/>
            <w:vAlign w:val="bottom"/>
            <w:tcBorders>
              <w:bottom w:val="single" w:sz="8" w:color="CCEE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36.9</w:t>
            </w:r>
          </w:p>
        </w:tc>
        <w:tc>
          <w:tcPr>
            <w:tcW w:w="260" w:type="dxa"/>
            <w:vAlign w:val="bottom"/>
            <w:tcBorders>
              <w:bottom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9,604</w:t>
            </w:r>
          </w:p>
        </w:tc>
        <w:tc>
          <w:tcPr>
            <w:tcW w:w="0" w:type="dxa"/>
            <w:vAlign w:val="bottom"/>
          </w:tcPr>
          <w:p>
            <w:pPr>
              <w:spacing w:after="0"/>
              <w:rPr>
                <w:sz w:val="1"/>
                <w:szCs w:val="1"/>
                <w:color w:val="auto"/>
              </w:rPr>
            </w:pPr>
          </w:p>
        </w:tc>
      </w:tr>
      <w:tr>
        <w:trPr>
          <w:trHeight w:val="189"/>
        </w:trPr>
        <w:tc>
          <w:tcPr>
            <w:tcW w:w="3320" w:type="dxa"/>
            <w:vAlign w:val="bottom"/>
            <w:tcBorders>
              <w:bottom w:val="single" w:sz="8" w:color="CCEEFF"/>
            </w:tcBorders>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b w:val="1"/>
                <w:bCs w:val="1"/>
                <w:color w:val="auto"/>
              </w:rPr>
              <w:t>Circulation</w:t>
            </w:r>
          </w:p>
        </w:tc>
        <w:tc>
          <w:tcPr>
            <w:tcW w:w="19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1056"/>
              <w:spacing w:after="0" w:line="189"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65,191</w:t>
            </w:r>
          </w:p>
        </w:tc>
        <w:tc>
          <w:tcPr>
            <w:tcW w:w="1820" w:type="dxa"/>
            <w:vAlign w:val="bottom"/>
            <w:tcBorders>
              <w:bottom w:val="single" w:sz="8" w:color="CCEE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0.4</w:t>
            </w:r>
          </w:p>
        </w:tc>
        <w:tc>
          <w:tcPr>
            <w:tcW w:w="26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56"/>
              <w:spacing w:after="0" w:line="189"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64,943</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Print circulation</w:t>
      </w:r>
    </w:p>
    <w:p>
      <w:pPr>
        <w:spacing w:after="0" w:line="1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Revenue decreased in 2022, primarily driven by volume declines, partially offset by rate increases. In 2022, home delivery revenue declined $2,671 or 5.3 percent. The Company ended 2022 with 78,573 print subscriptions, a decrease of 10,698 or 12.0 percent when compared to 89,271 at the end of 2021, while rates increased approximately 8.3 percent. Single copy revenue declined $623 or 12.9 percent in 2022.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Digital circulation</w:t>
      </w:r>
    </w:p>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Revenue increased 36.9 percent in 2022, due to an increase in digital-only subscriptions. The Company ended 2022 with 68,010 digital-only subscriptions, an increase of 8,539 or 14.4 percent when compared to 59,471 at the end of 2021, reflecting the Company’s continued focus on growing its paid digital subscriptions and revenue.</w:t>
      </w:r>
    </w:p>
    <w:p>
      <w:pPr>
        <w:spacing w:after="0" w:line="200" w:lineRule="exact"/>
        <w:rPr>
          <w:sz w:val="20"/>
          <w:szCs w:val="20"/>
          <w:color w:val="auto"/>
        </w:rPr>
      </w:pPr>
    </w:p>
    <w:p>
      <w:pPr>
        <w:spacing w:after="0" w:line="279" w:lineRule="exact"/>
        <w:rPr>
          <w:sz w:val="20"/>
          <w:szCs w:val="20"/>
          <w:color w:val="auto"/>
        </w:rPr>
      </w:pPr>
    </w:p>
    <w:p>
      <w:pPr>
        <w:jc w:val="right"/>
        <w:spacing w:after="0"/>
        <w:tabs>
          <w:tab w:leader="none" w:pos="700" w:val="left"/>
        </w:tabs>
        <w:rPr>
          <w:sz w:val="20"/>
          <w:szCs w:val="20"/>
          <w:color w:val="auto"/>
        </w:rPr>
      </w:pPr>
      <w:r>
        <w:rPr>
          <w:rFonts w:ascii="Times New Roman" w:cs="Times New Roman" w:eastAsia="Times New Roman" w:hAnsi="Times New Roman"/>
          <w:sz w:val="18"/>
          <w:szCs w:val="18"/>
          <w:color w:val="auto"/>
        </w:rPr>
        <w:t>DallasNews Corporation 2022 Annual Report on Form 10-K</w:t>
      </w:r>
      <w:r>
        <w:rPr>
          <w:sz w:val="20"/>
          <w:szCs w:val="20"/>
          <w:color w:val="auto"/>
        </w:rPr>
        <w:tab/>
      </w:r>
      <w:r>
        <w:rPr>
          <w:rFonts w:ascii="Times New Roman" w:cs="Times New Roman" w:eastAsia="Times New Roman" w:hAnsi="Times New Roman"/>
          <w:sz w:val="17"/>
          <w:szCs w:val="17"/>
          <w:b w:val="1"/>
          <w:bCs w:val="1"/>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221615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Printing, distribution and other revenue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Printing, distribution and other revenue was 10.5 percent and 10.5 percent of total revenue for 2022 and 2021, respectively.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Years Ended December 31,</w:t>
            </w:r>
          </w:p>
        </w:tc>
        <w:tc>
          <w:tcPr>
            <w:tcW w:w="28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39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vMerge w:val="restart"/>
          </w:tcPr>
          <w:p>
            <w:pPr>
              <w:jc w:val="right"/>
              <w:ind w:right="559"/>
              <w:spacing w:after="0"/>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260" w:type="dxa"/>
            <w:vAlign w:val="bottom"/>
          </w:tcPr>
          <w:p>
            <w:pPr>
              <w:spacing w:after="0"/>
              <w:rPr>
                <w:sz w:val="10"/>
                <w:szCs w:val="10"/>
                <w:color w:val="auto"/>
              </w:rPr>
            </w:pPr>
          </w:p>
        </w:tc>
        <w:tc>
          <w:tcPr>
            <w:tcW w:w="182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b w:val="1"/>
                <w:bCs w:val="1"/>
                <w:i w:val="1"/>
                <w:iCs w:val="1"/>
                <w:color w:val="auto"/>
              </w:rPr>
              <w:t>Percentage</w:t>
            </w: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0" w:type="dxa"/>
            <w:vAlign w:val="bottom"/>
            <w:vMerge w:val="restart"/>
          </w:tcPr>
          <w:p>
            <w:pPr>
              <w:jc w:val="right"/>
              <w:ind w:right="679"/>
              <w:spacing w:after="0"/>
              <w:rPr>
                <w:sz w:val="20"/>
                <w:szCs w:val="20"/>
                <w:color w:val="auto"/>
              </w:rPr>
            </w:pPr>
            <w:r>
              <w:rPr>
                <w:rFonts w:ascii="Times New Roman" w:cs="Times New Roman" w:eastAsia="Times New Roman" w:hAnsi="Times New Roman"/>
                <w:sz w:val="14"/>
                <w:szCs w:val="14"/>
                <w:b w:val="1"/>
                <w:bCs w:val="1"/>
                <w:i w:val="1"/>
                <w:iCs w:val="1"/>
                <w:color w:val="auto"/>
              </w:rPr>
              <w:t>2021</w:t>
            </w:r>
          </w:p>
        </w:tc>
        <w:tc>
          <w:tcPr>
            <w:tcW w:w="0" w:type="dxa"/>
            <w:vAlign w:val="bottom"/>
          </w:tcPr>
          <w:p>
            <w:pPr>
              <w:spacing w:after="0"/>
              <w:rPr>
                <w:sz w:val="1"/>
                <w:szCs w:val="1"/>
                <w:color w:val="auto"/>
              </w:rPr>
            </w:pPr>
          </w:p>
        </w:tc>
      </w:tr>
      <w:tr>
        <w:trPr>
          <w:trHeight w:val="196"/>
        </w:trPr>
        <w:tc>
          <w:tcPr>
            <w:tcW w:w="39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Change‎</w:t>
            </w:r>
          </w:p>
        </w:tc>
        <w:tc>
          <w:tcPr>
            <w:tcW w:w="2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b w:val="1"/>
                <w:bCs w:val="1"/>
                <w:color w:val="auto"/>
              </w:rPr>
              <w:t>Printing, Distribution and Other</w:t>
            </w:r>
          </w:p>
        </w:tc>
        <w:tc>
          <w:tcPr>
            <w:tcW w:w="1740" w:type="dxa"/>
            <w:vAlign w:val="bottom"/>
            <w:gridSpan w:val="2"/>
            <w:shd w:val="clear" w:color="auto" w:fill="CCEEFF"/>
          </w:tcPr>
          <w:p>
            <w:pPr>
              <w:jc w:val="right"/>
              <w:ind w:right="400"/>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15,793</w:t>
            </w:r>
          </w:p>
        </w:tc>
        <w:tc>
          <w:tcPr>
            <w:tcW w:w="260" w:type="dxa"/>
            <w:vAlign w:val="bottom"/>
            <w:shd w:val="clear" w:color="auto" w:fill="CCEEFF"/>
          </w:tcPr>
          <w:p>
            <w:pPr>
              <w:spacing w:after="0"/>
              <w:rPr>
                <w:sz w:val="16"/>
                <w:szCs w:val="16"/>
                <w:color w:val="auto"/>
              </w:rPr>
            </w:pPr>
          </w:p>
        </w:tc>
        <w:tc>
          <w:tcPr>
            <w:tcW w:w="1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(2.3) %</w:t>
            </w: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56"/>
              <w:spacing w:after="0" w:line="189"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16,160</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decreased in 2022, primarily due to declines in revenue from mailed advertisements for business customers and distribution revenue from commercial printing.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components of the Company’s operating costs and expense.</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200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Years Ended December 31,</w:t>
            </w: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880" w:type="dxa"/>
            <w:vAlign w:val="bottom"/>
          </w:tcPr>
          <w:p>
            <w:pPr>
              <w:spacing w:after="0"/>
              <w:rPr>
                <w:sz w:val="11"/>
                <w:szCs w:val="11"/>
                <w:color w:val="auto"/>
              </w:rPr>
            </w:pPr>
          </w:p>
        </w:tc>
        <w:tc>
          <w:tcPr>
            <w:tcW w:w="2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Percentage</w:t>
            </w:r>
          </w:p>
        </w:tc>
        <w:tc>
          <w:tcPr>
            <w:tcW w:w="380" w:type="dxa"/>
            <w:vAlign w:val="bottom"/>
          </w:tcPr>
          <w:p>
            <w:pPr>
              <w:spacing w:after="0"/>
              <w:rPr>
                <w:sz w:val="11"/>
                <w:szCs w:val="11"/>
                <w:color w:val="auto"/>
              </w:rPr>
            </w:pPr>
          </w:p>
        </w:tc>
        <w:tc>
          <w:tcPr>
            <w:tcW w:w="1220" w:type="dxa"/>
            <w:vAlign w:val="bottom"/>
            <w:vMerge w:val="restart"/>
          </w:tcPr>
          <w:p>
            <w:pPr>
              <w:jc w:val="right"/>
              <w:ind w:right="572"/>
              <w:spacing w:after="0"/>
              <w:rPr>
                <w:sz w:val="20"/>
                <w:szCs w:val="20"/>
                <w:color w:val="auto"/>
              </w:rPr>
            </w:pPr>
            <w:r>
              <w:rPr>
                <w:rFonts w:ascii="Times New Roman" w:cs="Times New Roman" w:eastAsia="Times New Roman" w:hAnsi="Times New Roman"/>
                <w:sz w:val="14"/>
                <w:szCs w:val="14"/>
                <w:b w:val="1"/>
                <w:bCs w:val="1"/>
                <w:i w:val="1"/>
                <w:iCs w:val="1"/>
                <w:color w:val="auto"/>
              </w:rPr>
              <w:t>2021</w:t>
            </w:r>
          </w:p>
        </w:tc>
        <w:tc>
          <w:tcPr>
            <w:tcW w:w="0" w:type="dxa"/>
            <w:vAlign w:val="bottom"/>
          </w:tcPr>
          <w:p>
            <w:pPr>
              <w:spacing w:after="0"/>
              <w:rPr>
                <w:sz w:val="1"/>
                <w:szCs w:val="1"/>
                <w:color w:val="auto"/>
              </w:rPr>
            </w:pPr>
          </w:p>
        </w:tc>
      </w:tr>
      <w:tr>
        <w:trPr>
          <w:trHeight w:val="182"/>
        </w:trPr>
        <w:tc>
          <w:tcPr>
            <w:tcW w:w="4880" w:type="dxa"/>
            <w:vAlign w:val="bottom"/>
          </w:tcPr>
          <w:p>
            <w:pPr>
              <w:spacing w:after="0"/>
              <w:rPr>
                <w:sz w:val="15"/>
                <w:szCs w:val="15"/>
                <w:color w:val="auto"/>
              </w:rPr>
            </w:pPr>
          </w:p>
        </w:tc>
        <w:tc>
          <w:tcPr>
            <w:tcW w:w="212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i w:val="1"/>
                <w:iCs w:val="1"/>
                <w:color w:val="auto"/>
              </w:rPr>
              <w:t>Change‎</w:t>
            </w:r>
          </w:p>
        </w:tc>
        <w:tc>
          <w:tcPr>
            <w:tcW w:w="3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80" w:type="dxa"/>
            <w:vAlign w:val="bottom"/>
            <w:tcBorders>
              <w:top w:val="single" w:sz="8" w:color="auto"/>
            </w:tcBorders>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Employee compensation and benefits</w:t>
            </w:r>
          </w:p>
        </w:tc>
        <w:tc>
          <w:tcPr>
            <w:tcW w:w="2120" w:type="dxa"/>
            <w:vAlign w:val="bottom"/>
            <w:tcBorders>
              <w:top w:val="single" w:sz="8" w:color="auto"/>
            </w:tcBorders>
            <w:gridSpan w:val="2"/>
            <w:shd w:val="clear" w:color="auto" w:fill="CCEEFF"/>
          </w:tcPr>
          <w:p>
            <w:pPr>
              <w:jc w:val="right"/>
              <w:ind w:right="7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67,096</w:t>
            </w:r>
          </w:p>
        </w:tc>
        <w:tc>
          <w:tcPr>
            <w:tcW w:w="2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(2.9) %</w:t>
            </w:r>
          </w:p>
        </w:tc>
        <w:tc>
          <w:tcPr>
            <w:tcW w:w="2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69,078</w:t>
            </w:r>
          </w:p>
        </w:tc>
        <w:tc>
          <w:tcPr>
            <w:tcW w:w="0" w:type="dxa"/>
            <w:vAlign w:val="bottom"/>
          </w:tcPr>
          <w:p>
            <w:pPr>
              <w:spacing w:after="0"/>
              <w:rPr>
                <w:sz w:val="1"/>
                <w:szCs w:val="1"/>
                <w:color w:val="auto"/>
              </w:rPr>
            </w:pPr>
          </w:p>
        </w:tc>
      </w:tr>
      <w:tr>
        <w:trPr>
          <w:trHeight w:val="189"/>
        </w:trPr>
        <w:tc>
          <w:tcPr>
            <w:tcW w:w="48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Other production, distribution and operating costs</w:t>
            </w:r>
          </w:p>
        </w:tc>
        <w:tc>
          <w:tcPr>
            <w:tcW w:w="1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78,638</w:t>
            </w:r>
          </w:p>
        </w:tc>
        <w:tc>
          <w:tcPr>
            <w:tcW w:w="18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(3.0) %</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81,041</w:t>
            </w: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Newsprint, ink and other supplies</w:t>
            </w:r>
          </w:p>
        </w:tc>
        <w:tc>
          <w:tcPr>
            <w:tcW w:w="1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11,035</w:t>
            </w:r>
          </w:p>
        </w:tc>
        <w:tc>
          <w:tcPr>
            <w:tcW w:w="18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11.7 %</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9,878</w:t>
            </w:r>
          </w:p>
        </w:tc>
        <w:tc>
          <w:tcPr>
            <w:tcW w:w="0" w:type="dxa"/>
            <w:vAlign w:val="bottom"/>
          </w:tcPr>
          <w:p>
            <w:pPr>
              <w:spacing w:after="0"/>
              <w:rPr>
                <w:sz w:val="1"/>
                <w:szCs w:val="1"/>
                <w:color w:val="auto"/>
              </w:rPr>
            </w:pPr>
          </w:p>
        </w:tc>
      </w:tr>
      <w:tr>
        <w:trPr>
          <w:trHeight w:val="189"/>
        </w:trPr>
        <w:tc>
          <w:tcPr>
            <w:tcW w:w="48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Depreciation</w:t>
            </w:r>
          </w:p>
        </w:tc>
        <w:tc>
          <w:tcPr>
            <w:tcW w:w="1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2,709</w:t>
            </w:r>
          </w:p>
        </w:tc>
        <w:tc>
          <w:tcPr>
            <w:tcW w:w="18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(32.3) %</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4,002</w:t>
            </w: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Amortization</w:t>
            </w:r>
          </w:p>
        </w:tc>
        <w:tc>
          <w:tcPr>
            <w:tcW w:w="1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(100.0) %</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89"/>
        </w:trPr>
        <w:tc>
          <w:tcPr>
            <w:tcW w:w="48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Loss on sale/disposal of assets, net</w:t>
            </w:r>
          </w:p>
        </w:tc>
        <w:tc>
          <w:tcPr>
            <w:tcW w:w="1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58</w:t>
            </w:r>
          </w:p>
        </w:tc>
        <w:tc>
          <w:tcPr>
            <w:tcW w:w="18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100.0 %</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CCEEFF"/>
            </w:tcBorders>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Asset impairments</w:t>
            </w:r>
          </w:p>
        </w:tc>
        <w:tc>
          <w:tcPr>
            <w:tcW w:w="1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1800" w:type="dxa"/>
            <w:vAlign w:val="bottom"/>
            <w:tcBorders>
              <w:bottom w:val="single" w:sz="8" w:color="CCEE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(56.0) %</w:t>
            </w: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176"/>
        </w:trPr>
        <w:tc>
          <w:tcPr>
            <w:tcW w:w="48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b w:val="1"/>
                <w:bCs w:val="1"/>
                <w:color w:val="auto"/>
              </w:rPr>
              <w:t>Total Operating Costs and Expense</w:t>
            </w:r>
          </w:p>
        </w:tc>
        <w:tc>
          <w:tcPr>
            <w:tcW w:w="1180" w:type="dxa"/>
            <w:vAlign w:val="bottom"/>
          </w:tcPr>
          <w:p>
            <w:pPr>
              <w:spacing w:after="0"/>
              <w:rPr>
                <w:sz w:val="15"/>
                <w:szCs w:val="15"/>
                <w:color w:val="auto"/>
              </w:rPr>
            </w:pPr>
          </w:p>
        </w:tc>
        <w:tc>
          <w:tcPr>
            <w:tcW w:w="940" w:type="dxa"/>
            <w:vAlign w:val="bottom"/>
            <w:tcBorders>
              <w:bottom w:val="single" w:sz="8" w:color="auto"/>
            </w:tcBorders>
          </w:tcPr>
          <w:p>
            <w:pPr>
              <w:jc w:val="right"/>
              <w:ind w:right="7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99"/>
              </w:rPr>
              <w:t>159,638</w:t>
            </w:r>
          </w:p>
        </w:tc>
        <w:tc>
          <w:tcPr>
            <w:tcW w:w="18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(2.9)%</w:t>
            </w:r>
          </w:p>
        </w:tc>
        <w:tc>
          <w:tcPr>
            <w:tcW w:w="200" w:type="dxa"/>
            <w:vAlign w:val="bottom"/>
          </w:tcPr>
          <w:p>
            <w:pPr>
              <w:spacing w:after="0"/>
              <w:rPr>
                <w:sz w:val="15"/>
                <w:szCs w:val="15"/>
                <w:color w:val="auto"/>
              </w:rPr>
            </w:pPr>
          </w:p>
        </w:tc>
        <w:tc>
          <w:tcPr>
            <w:tcW w:w="380" w:type="dxa"/>
            <w:vAlign w:val="bottom"/>
            <w:tcBorders>
              <w:bottom w:val="single" w:sz="8" w:color="auto"/>
            </w:tcBorders>
          </w:tcPr>
          <w:p>
            <w:pPr>
              <w:jc w:val="right"/>
              <w:ind w:right="19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164,324</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b w:val="1"/>
          <w:bCs w:val="1"/>
          <w:color w:val="auto"/>
        </w:rPr>
        <w:t xml:space="preserve">Employee compensation and benefits </w:t>
      </w:r>
      <w:r>
        <w:rPr>
          <w:rFonts w:ascii="Times New Roman" w:cs="Times New Roman" w:eastAsia="Times New Roman" w:hAnsi="Times New Roman"/>
          <w:sz w:val="18"/>
          <w:szCs w:val="18"/>
          <w:color w:val="auto"/>
        </w:rPr>
        <w:t>– The Company continues to implement measures to optimize its workforce and evaluate strategies to reduce 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associated with future obligations for employee benefit plans. Employee compensation and benefits decreased $1,982 in 2022, primarily due to reductions in variable compensation, severance and medical expense. In 2021, severance expense included $1,423 related to a voluntary severance offer.</w:t>
      </w:r>
    </w:p>
    <w:p>
      <w:pPr>
        <w:spacing w:after="0" w:line="1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Other production, distribution and operating costs </w:t>
      </w:r>
      <w:r>
        <w:rPr>
          <w:rFonts w:ascii="Times New Roman" w:cs="Times New Roman" w:eastAsia="Times New Roman" w:hAnsi="Times New Roman"/>
          <w:sz w:val="18"/>
          <w:szCs w:val="18"/>
          <w:color w:val="auto"/>
        </w:rPr>
        <w:t>– Expense decreased $2,403 in 2022, primarily due to savings in distribution expense associated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lower circulation and preprinted advertisements. In addition, advertising and promotional expense decreased related to fewer barter agreements.</w:t>
      </w:r>
    </w:p>
    <w:p>
      <w:pPr>
        <w:spacing w:after="0" w:line="1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Newsprint, ink and other supplies </w:t>
      </w:r>
      <w:r>
        <w:rPr>
          <w:rFonts w:ascii="Times New Roman" w:cs="Times New Roman" w:eastAsia="Times New Roman" w:hAnsi="Times New Roman"/>
          <w:sz w:val="18"/>
          <w:szCs w:val="18"/>
          <w:color w:val="auto"/>
        </w:rPr>
        <w:t>– Expense increased $1,157 in 2022. Competitive pricing is available under the Company’s paper supply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however, the price of newsprint increased, partially offset by savings from reduced newsprint costs associated with lower circulation volumes. Newsprint consumption approximated 7,735 and 8,405 metric tons in 2022 and 2021, respectively, at an average cost per metric ton of $728 and $572, respectively.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Depreciation </w:t>
      </w:r>
      <w:r>
        <w:rPr>
          <w:rFonts w:ascii="Times New Roman" w:cs="Times New Roman" w:eastAsia="Times New Roman" w:hAnsi="Times New Roman"/>
          <w:sz w:val="18"/>
          <w:szCs w:val="18"/>
          <w:color w:val="auto"/>
        </w:rPr>
        <w:t>– Expense decreased $1,293 in 2022, due to a lower depreciable asset base as a higher level of in-service assets are now fully depreciated.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Amortization </w:t>
      </w:r>
      <w:r>
        <w:rPr>
          <w:rFonts w:ascii="Times New Roman" w:cs="Times New Roman" w:eastAsia="Times New Roman" w:hAnsi="Times New Roman"/>
          <w:sz w:val="18"/>
          <w:szCs w:val="18"/>
          <w:color w:val="auto"/>
        </w:rPr>
        <w:t>– Expense decreased in 2022, due to all intangible assets being fully amortized in the first quarter of 2021.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Loss on sale/disposal of assets, net </w:t>
      </w:r>
      <w:r>
        <w:rPr>
          <w:rFonts w:ascii="Times New Roman" w:cs="Times New Roman" w:eastAsia="Times New Roman" w:hAnsi="Times New Roman"/>
          <w:sz w:val="18"/>
          <w:szCs w:val="18"/>
          <w:color w:val="auto"/>
        </w:rPr>
        <w:t>– In 2022 and 2021, the Company disposed assets that were no longer in use, and from time to time, may sell assets.</w:t>
      </w:r>
    </w:p>
    <w:p>
      <w:pPr>
        <w:spacing w:after="0" w:line="1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Asset impairments – </w:t>
      </w:r>
      <w:r>
        <w:rPr>
          <w:rFonts w:ascii="Times New Roman" w:cs="Times New Roman" w:eastAsia="Times New Roman" w:hAnsi="Times New Roman"/>
          <w:sz w:val="18"/>
          <w:szCs w:val="18"/>
          <w:color w:val="auto"/>
        </w:rPr>
        <w:t>In 2022, the Company terminated the lease and sublease agreements for the office space of the Denton Publishing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resulting in a right-of-use asset impairment of $102. In 2021, the Company subleased office space in Dallas, Texas at a lower rate than the head lease, resulting in a right-of-use asset impairment of $232.</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tabs>
          <w:tab w:leader="none" w:pos="700" w:val="left"/>
        </w:tabs>
        <w:rPr>
          <w:sz w:val="20"/>
          <w:szCs w:val="20"/>
          <w:color w:val="auto"/>
        </w:rPr>
      </w:pPr>
      <w:r>
        <w:rPr>
          <w:rFonts w:ascii="Times New Roman" w:cs="Times New Roman" w:eastAsia="Times New Roman" w:hAnsi="Times New Roman"/>
          <w:sz w:val="18"/>
          <w:szCs w:val="18"/>
          <w:color w:val="auto"/>
        </w:rPr>
        <w:t>DallasNews Corporation 2022 Annual Report on Form 10-K</w:t>
      </w:r>
      <w:r>
        <w:rPr>
          <w:sz w:val="20"/>
          <w:szCs w:val="20"/>
          <w:color w:val="auto"/>
        </w:rPr>
        <w:tab/>
      </w:r>
      <w:r>
        <w:rPr>
          <w:rFonts w:ascii="Times New Roman" w:cs="Times New Roman" w:eastAsia="Times New Roman" w:hAnsi="Times New Roman"/>
          <w:sz w:val="17"/>
          <w:szCs w:val="17"/>
          <w:b w:val="1"/>
          <w:bCs w:val="1"/>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221615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other components of the Company’s results of operations.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spacing w:after="0"/>
              <w:rPr>
                <w:sz w:val="17"/>
                <w:szCs w:val="17"/>
                <w:color w:val="auto"/>
              </w:rPr>
            </w:pPr>
          </w:p>
        </w:tc>
        <w:tc>
          <w:tcPr>
            <w:tcW w:w="186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Years Ended December 31,</w:t>
            </w: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vMerge w:val="restart"/>
          </w:tcPr>
          <w:p>
            <w:pPr>
              <w:jc w:val="right"/>
              <w:ind w:right="556"/>
              <w:spacing w:after="0"/>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220" w:type="dxa"/>
            <w:vAlign w:val="bottom"/>
          </w:tcPr>
          <w:p>
            <w:pPr>
              <w:spacing w:after="0"/>
              <w:rPr>
                <w:sz w:val="11"/>
                <w:szCs w:val="11"/>
                <w:color w:val="auto"/>
              </w:rPr>
            </w:pPr>
          </w:p>
        </w:tc>
        <w:tc>
          <w:tcPr>
            <w:tcW w:w="16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Percentage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vMerge w:val="restart"/>
          </w:tcPr>
          <w:p>
            <w:pPr>
              <w:jc w:val="right"/>
              <w:ind w:right="536"/>
              <w:spacing w:after="0"/>
              <w:rPr>
                <w:sz w:val="20"/>
                <w:szCs w:val="20"/>
                <w:color w:val="auto"/>
              </w:rPr>
            </w:pPr>
            <w:r>
              <w:rPr>
                <w:rFonts w:ascii="Times New Roman" w:cs="Times New Roman" w:eastAsia="Times New Roman" w:hAnsi="Times New Roman"/>
                <w:sz w:val="14"/>
                <w:szCs w:val="14"/>
                <w:b w:val="1"/>
                <w:bCs w:val="1"/>
                <w:i w:val="1"/>
                <w:iCs w:val="1"/>
                <w:color w:val="auto"/>
              </w:rPr>
              <w:t>2021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2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i w:val="1"/>
                <w:iCs w:val="1"/>
                <w:color w:val="auto"/>
              </w:rPr>
              <w:t>Change‎</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0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Other income (loss), net</w:t>
            </w:r>
          </w:p>
        </w:tc>
        <w:tc>
          <w:tcPr>
            <w:tcW w:w="2360" w:type="dxa"/>
            <w:vAlign w:val="bottom"/>
            <w:tcBorders>
              <w:top w:val="single" w:sz="8" w:color="auto"/>
            </w:tcBorders>
            <w:gridSpan w:val="2"/>
            <w:shd w:val="clear" w:color="auto" w:fill="CCEEFF"/>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(241)</w:t>
            </w:r>
          </w:p>
        </w:tc>
        <w:tc>
          <w:tcPr>
            <w:tcW w:w="22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(103.3) %</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ind w:right="17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7,332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Income tax provision (benefit)</w:t>
            </w:r>
          </w:p>
        </w:tc>
        <w:tc>
          <w:tcPr>
            <w:tcW w:w="2360" w:type="dxa"/>
            <w:vAlign w:val="bottom"/>
            <w:gridSpan w:val="2"/>
            <w:shd w:val="clear" w:color="auto" w:fill="CCEEFF"/>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558</w:t>
            </w:r>
          </w:p>
        </w:tc>
        <w:tc>
          <w:tcPr>
            <w:tcW w:w="17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125.9 %</w:t>
            </w:r>
          </w:p>
        </w:tc>
        <w:tc>
          <w:tcPr>
            <w:tcW w:w="1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7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(2,151)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Other income (loss), net </w:t>
      </w:r>
      <w:r>
        <w:rPr>
          <w:rFonts w:ascii="Times New Roman" w:cs="Times New Roman" w:eastAsia="Times New Roman" w:hAnsi="Times New Roman"/>
          <w:sz w:val="18"/>
          <w:szCs w:val="18"/>
          <w:color w:val="auto"/>
        </w:rPr>
        <w:t>– Other income (loss), net includes net periodic pension and other post-employment expense (benefit), interest income (expense)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gain (loss) from investments.</w:t>
      </w:r>
    </w:p>
    <w:p>
      <w:pPr>
        <w:spacing w:after="0" w:line="14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Net periodic pension and other post-employment expense (benefit) was $910 and $(4,141) in 2022 and 2021, respectively. For 2022, based on the re-allocation of the Pension Plans’ assets, the Company assumed a lower rate of return on the assets resulting in net periodic pension expense.</w:t>
      </w:r>
    </w:p>
    <w:p>
      <w:pPr>
        <w:spacing w:after="0" w:line="14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2022 and 2021, the Company recorded $616 and $1,008, respectively, of interest income related to the promissory notes from the sale of the Company’s former headquarters. In 2021, the Company recorded $455 of interest income in connection with the accounting for unrecognized tax positions, primarily related to the release of a federal uncertain tax reserve.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2021, the Company sold inactive IP addresses for $1,349.</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Income tax provision (benefit) </w:t>
      </w:r>
      <w:r>
        <w:rPr>
          <w:rFonts w:ascii="Times New Roman" w:cs="Times New Roman" w:eastAsia="Times New Roman" w:hAnsi="Times New Roman"/>
          <w:sz w:val="18"/>
          <w:szCs w:val="18"/>
          <w:color w:val="auto"/>
        </w:rPr>
        <w:t>– The income tax provision of $558 recorded in 2022, was due to the effect of the Texas franchise tax.</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 income tax benefit of $(2,151) was recorded in 2021. The benefit was primarily due to the release of $2,575, included in other liabilities, for a federal uncertain tax reserve resulting from the statute of limitations lapsing in August 2021, partially offset by the effect of the Texas franchise tax.</w:t>
      </w:r>
    </w:p>
    <w:p>
      <w:pPr>
        <w:spacing w:after="0" w:line="14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b w:val="1"/>
          <w:bCs w:val="1"/>
          <w:color w:val="auto"/>
        </w:rPr>
        <w:t xml:space="preserve">Legal proceedings </w:t>
      </w:r>
      <w:r>
        <w:rPr>
          <w:rFonts w:ascii="Times New Roman" w:cs="Times New Roman" w:eastAsia="Times New Roman" w:hAnsi="Times New Roman"/>
          <w:sz w:val="18"/>
          <w:szCs w:val="18"/>
          <w:color w:val="auto"/>
        </w:rPr>
        <w:t>– From time to time, the Company is involved in a variety of claims, lawsuits and other disputes arising in the ordinary course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Management routinely assesses the likelihood of adverse judgments or outcomes in these matters, as well as the ranges of probable losses to the extent losses are reasonably estimable. Accruals for contingencies are recorded when, in the judgment of management, adverse judgments or outcomes are probable and the financial impact, should an adverse outcome occur, is reasonably estimable. The determination of likely outcomes of litigation matters relates to factors that include, but are not limited to, past experience and other evidence, interpretation of relevant laws or regulations and the specifics and status of each matter. Predicting the outcome of claims and litigation and estimating related costs and financial exposure involves substantial uncertainties that could cause actual results to vary materially from estimates and accruals. In the opinion of management, liabilities, if any, arising from other currently existing claims against the Company would not have a material adverse effect on DallasNews’ results of operations, liquidity or financial condition.</w:t>
      </w:r>
    </w:p>
    <w:p>
      <w:pPr>
        <w:spacing w:after="0" w:line="200" w:lineRule="exact"/>
        <w:rPr>
          <w:sz w:val="20"/>
          <w:szCs w:val="20"/>
          <w:color w:val="auto"/>
        </w:rPr>
      </w:pPr>
    </w:p>
    <w:p>
      <w:pPr>
        <w:spacing w:after="0" w:line="278" w:lineRule="exact"/>
        <w:rPr>
          <w:sz w:val="20"/>
          <w:szCs w:val="20"/>
          <w:color w:val="auto"/>
        </w:rPr>
      </w:pPr>
    </w:p>
    <w:p>
      <w:pPr>
        <w:jc w:val="right"/>
        <w:spacing w:after="0"/>
        <w:tabs>
          <w:tab w:leader="none" w:pos="700" w:val="left"/>
        </w:tabs>
        <w:rPr>
          <w:sz w:val="20"/>
          <w:szCs w:val="20"/>
          <w:color w:val="auto"/>
        </w:rPr>
      </w:pPr>
      <w:r>
        <w:rPr>
          <w:rFonts w:ascii="Times New Roman" w:cs="Times New Roman" w:eastAsia="Times New Roman" w:hAnsi="Times New Roman"/>
          <w:sz w:val="18"/>
          <w:szCs w:val="18"/>
          <w:color w:val="auto"/>
        </w:rPr>
        <w:t>DallasNews Corporation 2022 Annual Report on Form 10-K</w:t>
      </w:r>
      <w:r>
        <w:rPr>
          <w:sz w:val="20"/>
          <w:szCs w:val="20"/>
          <w:color w:val="auto"/>
        </w:rPr>
        <w:tab/>
      </w:r>
      <w:r>
        <w:rPr>
          <w:rFonts w:ascii="Times New Roman" w:cs="Times New Roman" w:eastAsia="Times New Roman" w:hAnsi="Times New Roman"/>
          <w:sz w:val="17"/>
          <w:szCs w:val="17"/>
          <w:b w:val="1"/>
          <w:bCs w:val="1"/>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DallasNews’ consolidated financial statements reflect the application of accounting policies that require management to make significant estimates and assumptions. The Company believes that the following are the critical accounting policies, estimates and assumptions currently affecting DallasNews’ financial position and results of operations. See the Notes to the Consolidated Financial Statements, </w:t>
      </w:r>
      <w:r>
        <w:rPr>
          <w:rFonts w:ascii="Times New Roman" w:cs="Times New Roman" w:eastAsia="Times New Roman" w:hAnsi="Times New Roman"/>
          <w:sz w:val="18"/>
          <w:szCs w:val="18"/>
          <w:u w:val="single" w:color="auto"/>
          <w:color w:val="0000FF"/>
        </w:rPr>
        <w:t>Note 1 – Significant Accounting Policies and Recently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Issued Accounting Standards</w:t>
      </w:r>
      <w:r>
        <w:rPr>
          <w:rFonts w:ascii="Times New Roman" w:cs="Times New Roman" w:eastAsia="Times New Roman" w:hAnsi="Times New Roman"/>
          <w:sz w:val="18"/>
          <w:szCs w:val="18"/>
          <w:color w:val="000000"/>
        </w:rPr>
        <w:t>, for additional information concerning significant accounting policies.</w:t>
      </w:r>
    </w:p>
    <w:p>
      <w:pPr>
        <w:spacing w:after="0" w:line="15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The Company’s principal sources of revenue are sales of advertising within its newspaper and digital platforms, subscription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retail sales of its newspapers, commercial printing and distribution services, primarily related to national newspapers, and preprint advertising. In addition, revenue includes strategic marketing management, consulting, creative services, targeted and multi-channel (programmatic) advertising placed on third-party websites, social media management, search optimization, direct mail and the sale of promotional materials.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and Marketing Services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Print advertising is comprised of display, classified and preprint advertising revenue. Display revenue results from sales of advertising space within the Company’s core newspapers and niche publications to local, regional or national businesses with local operations, affiliates or resellers.</w:t>
      </w:r>
    </w:p>
    <w:p>
      <w:pPr>
        <w:spacing w:after="0" w:line="14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Classified revenue, which includes automotive, real estate, employment, obituaries and other, results from sales of advertising space in the classified and other sections of the Company’s newspapers. Preprint revenue results from sales of preprinted advertisements or circulars inserted into the Company’s core newspapers, niche publications, and distributed to publications in other markets, or distributed by mail or through third-party distributors to households in targeted areas in order to provide total market coverage for advertisers. The Company’s capabilities allow its advertisers to target preprint distribution selectively at the sub-zip code level in order to optimize coverage for the advertisers’ locations. Preprint advertising also includes other services revenue related to the Company’s niche publications.</w:t>
      </w:r>
    </w:p>
    <w:p>
      <w:pPr>
        <w:spacing w:after="0" w:line="15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Digital advertising and marketing services revenue consists of strategic marketing services, consulting, branding, paid media strategy and management, creative services, search optimization, direct mail and the sale of promotional materials, as well as providing multi-channel marketing solutions through subscription sales of the Company’s cloud-based software. In addition, it includes digital sales of banner, classified and native advertisements on the Company’s news and entertainment-related websites and mobile apps, as well as targeted and multi-channel (programmatic) advertising placed on third-party websites.</w:t>
      </w:r>
    </w:p>
    <w:p>
      <w:pPr>
        <w:spacing w:after="0" w:line="16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Advertising and marketing services revenue is primarily recognized at a point in time when the ad or service is complete and delivered, based on the customers’ contract price. Barter advertising transactions are recognized at estimated fair value based on the negotiated contract price and the range of prices for similar advertising from customers unrelated to the barter transaction. The Company expenses barter costs as incurred, which is independent from the timing of revenue recognition. In addition, certain digital advertising revenue related to website access is recognized over time, based on the customers’ monthly rate.</w:t>
      </w:r>
    </w:p>
    <w:p>
      <w:pPr>
        <w:spacing w:after="0" w:line="16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For ads placed on certain third-party websites, the Company must evaluate and use judgment to determine whether it is acting as the principal, where revenue is reported on a gross basis, or acting as the agent, where revenue is reported on a net basis. Generally, the Company reports advertising revenue for ads placed on third-party websites on a net basis, meaning the amount recorded to revenue is the amount billed to the customer net of amounts paid to the publisher of the third-party website. The Company is acting as the agent because the publisher controls the advertising inventory. The Company will record certain arrangements gross when it has latitude in establishing price or it determines the placement of the ads as a value added service to the customer.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Circulation</w:t>
      </w:r>
    </w:p>
    <w:p>
      <w:pPr>
        <w:spacing w:after="0" w:line="18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Circulation revenue is generated primarily by selling home delivery, including premium publications, and digital subscriptions, as well as single copy sales to non-subscribers for which revenue is recognized at a point in time when the paper is purchased. Home delivery revenue is recognized over the subscription period based on the days of actual delivery over the total subscription days. Revenue is directly reduced for any non-payment for the grace period of home delivery subscriptions where the Company recorded revenue for newspapers delivered after a subscription expired. Digital-only subscription revenue is recognized over the subscription period based on daily or monthly access to the content in the subscription period. Payment of circulation fees is typically received in advance and deferred over the subscription period. There is little judgment required for valuation or timing of circulation revenue recognition.</w:t>
      </w:r>
    </w:p>
    <w:p>
      <w:pPr>
        <w:spacing w:after="0" w:line="200" w:lineRule="exact"/>
        <w:rPr>
          <w:sz w:val="20"/>
          <w:szCs w:val="20"/>
          <w:color w:val="auto"/>
        </w:rPr>
      </w:pPr>
    </w:p>
    <w:p>
      <w:pPr>
        <w:spacing w:after="0" w:line="278" w:lineRule="exact"/>
        <w:rPr>
          <w:sz w:val="20"/>
          <w:szCs w:val="20"/>
          <w:color w:val="auto"/>
        </w:rPr>
      </w:pPr>
    </w:p>
    <w:p>
      <w:pPr>
        <w:jc w:val="right"/>
        <w:spacing w:after="0"/>
        <w:tabs>
          <w:tab w:leader="none" w:pos="700" w:val="left"/>
        </w:tabs>
        <w:rPr>
          <w:sz w:val="20"/>
          <w:szCs w:val="20"/>
          <w:color w:val="auto"/>
        </w:rPr>
      </w:pPr>
      <w:r>
        <w:rPr>
          <w:rFonts w:ascii="Times New Roman" w:cs="Times New Roman" w:eastAsia="Times New Roman" w:hAnsi="Times New Roman"/>
          <w:sz w:val="18"/>
          <w:szCs w:val="18"/>
          <w:color w:val="auto"/>
        </w:rPr>
        <w:t>DallasNews Corporation 2022 Annual Report on Form 10-K</w:t>
      </w:r>
      <w:r>
        <w:rPr>
          <w:sz w:val="20"/>
          <w:szCs w:val="20"/>
          <w:color w:val="auto"/>
        </w:rPr>
        <w:tab/>
      </w:r>
      <w:r>
        <w:rPr>
          <w:rFonts w:ascii="Times New Roman" w:cs="Times New Roman" w:eastAsia="Times New Roman" w:hAnsi="Times New Roman"/>
          <w:sz w:val="17"/>
          <w:szCs w:val="17"/>
          <w:b w:val="1"/>
          <w:bCs w:val="1"/>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Printing, Distribution and Other</w:t>
      </w:r>
    </w:p>
    <w:p>
      <w:pPr>
        <w:spacing w:after="0" w:line="189"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Printing, distribution and other revenue is primarily generated from printing and distribution of other newspapers, as well as production of preprinted advertisements for other newspapers. Printing, distribution and other revenue is recognized at a point in time when the product or service is delivered, which requires little judgment to determine.</w:t>
      </w:r>
    </w:p>
    <w:p>
      <w:pPr>
        <w:spacing w:after="0" w:line="15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b w:val="1"/>
          <w:bCs w:val="1"/>
          <w:color w:val="auto"/>
        </w:rPr>
        <w:t xml:space="preserve">Pension. </w:t>
      </w:r>
      <w:r>
        <w:rPr>
          <w:rFonts w:ascii="Times New Roman" w:cs="Times New Roman" w:eastAsia="Times New Roman" w:hAnsi="Times New Roman"/>
          <w:sz w:val="18"/>
          <w:szCs w:val="18"/>
          <w:color w:val="auto"/>
        </w:rPr>
        <w:t>The Company follows accounting guidance for single-employer defined benefit plans. Plan assets and the projected benefits obligation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measured each December 31, and the Company records as an asset or liability for the net funded position of the plans. Certain changes in actuarial valuations related to returns on plan assets and projected benefit obligations are recorded to accumulated other comprehensive income (loss) and are amortized to net periodic pension expense (benefit) over the weighted average remaining life of plan participants, to the extent the cumulative balance in accumulated other comprehensive income (loss) exceeds 10 percent of the greater of the respective plan’s (a) projected benefit obligation or (b) the market-related value of the plan’s assets. Net periodic pension expense (benefit) is recognized each period by accruing interest expense on the projected benefit obligation and accruing a return on assets associated with the plan assets. Participation in and accrual of new benefits to participants has been frozen since 2007 and, accordingly, on-going service costs are not a component of net periodic pension expense (benefit). From time to time, the Company-sponsored plans may settle pension obligations with certain plan participants through the plans’ master trust as part of its de-risking strategies. The gains or losses associated with settlements of plan obligations to participants are recognized to earnings if such settlements exceed the interest component of net periodic pension cost for the year. Otherwise, such amounts are included in actuarial gains (losses) in accumulated other comprehensive income (loss). Re-measurement of plan assets and liabilities upon a significant settlement or curtailment event is performed based on the values of the month-end closest to the event.</w:t>
      </w:r>
    </w:p>
    <w:p>
      <w:pPr>
        <w:spacing w:after="0" w:line="161"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18"/>
          <w:szCs w:val="18"/>
          <w:color w:val="auto"/>
        </w:rPr>
        <w:t>The projected benefit obligations of the DallasNews Pension Plans are estimated using the FTSE Pension Discount Curve, which is based upon a portfolio of high-quality corporate debt securities with maturities that correlate to the expected timing of estimated benefit payments to the Pension Plans’ participants. Future estimated benefit payments are discounted to their present value at the appropriate yield curve spot rate to determine the projected benefit obligation outstanding at each year end. The single equivalent discount rate as of December 31, 2022 was 4.9 percent and 2.5 percent for December 31, 2021. The significant gains related to changes in the projected benefit obligation for 2022 and 2021, were primarily due to the movement in the discount rate.</w:t>
      </w:r>
    </w:p>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Interest expense included in net periodic pension benefit is based on the FTSE Pension Discount Curve established at the beginning of the fiscal year. The discount rate for fiscal year 2022 and 2021 interest cost was 2.5 percent and 2.1 percent, respectively.</w:t>
      </w:r>
    </w:p>
    <w:p>
      <w:pPr>
        <w:spacing w:after="0" w:line="14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assumed a 2.5 percent and 5.5 percent long-term return on the Pension Plans’ assets in 2022 and 2021, respectively. This return is based upon historical returns of similar investment pools having asset allocations consistent with the expected allocations of the DallasNews Pension Plans. Investment strategies for the Pension Plans’ assets are based upon factors such as the effective duration of the actuarial liabilities and market risks.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Standards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the Notes to the Consolidated Financial Statements, </w:t>
      </w:r>
      <w:r>
        <w:rPr>
          <w:rFonts w:ascii="Times New Roman" w:cs="Times New Roman" w:eastAsia="Times New Roman" w:hAnsi="Times New Roman"/>
          <w:sz w:val="18"/>
          <w:szCs w:val="18"/>
          <w:u w:val="single" w:color="auto"/>
          <w:color w:val="0000FF"/>
        </w:rPr>
        <w:t>Note 1 - Significant Accounting Policies and Recently Issued Accounting Standards</w:t>
      </w:r>
      <w:r>
        <w:rPr>
          <w:rFonts w:ascii="Times New Roman" w:cs="Times New Roman" w:eastAsia="Times New Roman" w:hAnsi="Times New Roman"/>
          <w:sz w:val="18"/>
          <w:szCs w:val="18"/>
          <w:color w:val="auto"/>
        </w:rPr>
        <w:t>, regarding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2591435</wp:posOffset>
            </wp:positionH>
            <wp:positionV relativeFrom="paragraph">
              <wp:posOffset>-7620</wp:posOffset>
            </wp:positionV>
            <wp:extent cx="38455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4556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impact of certain recent accounting pronouncements.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Company’s cash balances as of December 31, 2022 and 2021, were $27,825 and $32,439, respectively. The decrease in the cash balance during 2022 was primarily due to the return of capital to shareholders through dividends, a board approved voluntary contribution to the Pension Plans and the net loss from operations.</w:t>
      </w:r>
    </w:p>
    <w:p>
      <w:pPr>
        <w:spacing w:after="0" w:line="15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Company intends to hold the majority of existing cash for purposes of future investment opportunities, potential return of capital to shareholders and for contingency purposes. Although revenue is expected to continue to decline in future periods, cash flows and other expense reduction measures are expected to be sufficient to fund operating activities and capital spending.</w:t>
      </w:r>
    </w:p>
    <w:p>
      <w:pPr>
        <w:spacing w:after="0" w:line="15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future approval of dividends is dependent upon available cash after considering future operating and investing requirements and cannot be guaranteed. The Company continues to have a board-authorized repurchase authority. However, the agreement to repurchase the Company’s stock expired and was not renewed.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tabs>
          <w:tab w:leader="none" w:pos="700" w:val="left"/>
        </w:tabs>
        <w:rPr>
          <w:sz w:val="20"/>
          <w:szCs w:val="20"/>
          <w:color w:val="auto"/>
        </w:rPr>
      </w:pPr>
      <w:r>
        <w:rPr>
          <w:rFonts w:ascii="Times New Roman" w:cs="Times New Roman" w:eastAsia="Times New Roman" w:hAnsi="Times New Roman"/>
          <w:sz w:val="18"/>
          <w:szCs w:val="18"/>
          <w:color w:val="auto"/>
        </w:rPr>
        <w:t>DallasNews Corporation 2022 Annual Report on Form 10-K</w:t>
      </w:r>
      <w:r>
        <w:rPr>
          <w:sz w:val="20"/>
          <w:szCs w:val="20"/>
          <w:color w:val="auto"/>
        </w:rPr>
        <w:tab/>
      </w:r>
      <w:r>
        <w:rPr>
          <w:rFonts w:ascii="Times New Roman" w:cs="Times New Roman" w:eastAsia="Times New Roman" w:hAnsi="Times New Roman"/>
          <w:sz w:val="17"/>
          <w:szCs w:val="17"/>
          <w:b w:val="1"/>
          <w:bCs w:val="1"/>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221615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American Rescue Plan Act of 2021 (the “ARP Act”) was passed and signed into law on March 11, 2021, and was designed to speed up the United States’ economic recovery. The ARP Act contains many provisions, including direct cash payments to eligible taxpayers below specified income limits, extended unemployment insurance benefits, additional relief designed to prevent layoffs and business closures at small businesses, and pension relief provisions. The pension relief provisions include extending the interest rate relief passed in previous years, permanently adding a floor to funding interest rates, and permanently changing the amortization period for pension underfunding from 7 to 15 years. All provisions are required to be effective for plan years beginning in 2022, but plan sponsors can elect certain provisions to apply to plan years beginning as early as 2019. The Company benefited from the shortfall amortization relief provisions and the segment interest rate relief provisions contained in the ARP Act effective for the 2020 plan year.</w:t>
      </w:r>
    </w:p>
    <w:p>
      <w:pPr>
        <w:spacing w:after="0" w:line="14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Effective June 30, 2022, the Company and Charter DMN Holdings, LP (the “Purchaser”) entered into an agreement (the “Third Modification Agreement”) extending the maturity date of the promissory note of $22,400 (the “Promissory Note”), for the sale of the real estate assets previously used as the Company’s headquarters, to July 29, 2022. The unpaid, original principal balance of the Promissory Note accrued interest at the rate of 6.5 percent. On July 29, 2022, the Company was paid in full, receiving cash proceeds of $22,516, including interest, due from the Purchaser under the Third Modification Agreement.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discusses the changes in cash flows by operating, investing and financing activities in 2022 and 2021.</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for operating activities was $13,933 and $5,760 in 2022 and 2021, respectively.</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Cash flows used for operating activities increased by $8,173 in 2022, when compared to the prior year period, primarily due to the board approved voluntary contribution of $5,000 to the Pension Plans made in the third quarter of 2022 and the net loss from operations.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Cash Flows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(used for) investing activities was $20,773 and $(390) in 2022 and 2021, respectively.</w:t>
      </w:r>
    </w:p>
    <w:p>
      <w:pPr>
        <w:spacing w:after="0" w:line="185"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8"/>
          <w:szCs w:val="18"/>
          <w:color w:val="auto"/>
        </w:rPr>
        <w:t>Cash flows from investing activities increased in 2022 due to cash proceeds of $22,400, received in the third quarter of 2022, due under the Third Modification Agreement as discussed above. Cash flows from investing activities also included $1,627 and $767 of capital spending in 2022 and 2021,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Cash Flows</w:t>
      </w:r>
    </w:p>
    <w:p>
      <w:pPr>
        <w:spacing w:after="0" w:line="189"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8"/>
          <w:szCs w:val="18"/>
          <w:color w:val="auto"/>
        </w:rPr>
        <w:t>Net cash used for financing activities was $11,454 and $3,426 in 2022 and 2021, respectively, primarily attributable to dividend payments. On August 22, 2022, the Company’s board of directors declared a special, one-time $1.50 per share dividend to shareholders of record as of the close of business on September 9, 2022, which was paid on September 30, 2022, returning $8,029 to shareholders.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Arrangements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05" w:lineRule="exact"/>
        <w:rPr>
          <w:sz w:val="20"/>
          <w:szCs w:val="20"/>
          <w:color w:val="auto"/>
        </w:rPr>
      </w:pPr>
    </w:p>
    <w:p>
      <w:pPr>
        <w:jc w:val="right"/>
        <w:spacing w:after="0"/>
        <w:tabs>
          <w:tab w:leader="none" w:pos="700" w:val="left"/>
        </w:tabs>
        <w:rPr>
          <w:sz w:val="20"/>
          <w:szCs w:val="20"/>
          <w:color w:val="auto"/>
        </w:rPr>
      </w:pPr>
      <w:r>
        <w:rPr>
          <w:rFonts w:ascii="Times New Roman" w:cs="Times New Roman" w:eastAsia="Times New Roman" w:hAnsi="Times New Roman"/>
          <w:sz w:val="18"/>
          <w:szCs w:val="18"/>
          <w:color w:val="auto"/>
        </w:rPr>
        <w:t>DallasNews Corporation 2022 Annual Report on Form 10-K</w:t>
      </w:r>
      <w:r>
        <w:rPr>
          <w:sz w:val="20"/>
          <w:szCs w:val="20"/>
          <w:color w:val="auto"/>
        </w:rPr>
        <w:tab/>
      </w:r>
      <w:r>
        <w:rPr>
          <w:rFonts w:ascii="Times New Roman" w:cs="Times New Roman" w:eastAsia="Times New Roman" w:hAnsi="Times New Roman"/>
          <w:sz w:val="17"/>
          <w:szCs w:val="17"/>
          <w:b w:val="1"/>
          <w:bCs w:val="1"/>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89"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8"/>
          <w:szCs w:val="18"/>
          <w:color w:val="auto"/>
        </w:rPr>
        <w:t xml:space="preserve">As of December 31, 2022, the Company had contractual obligations, in aggregate, of $12,283 for the next five years and $14,342 thereafter, for operating leases, primarily for office space and other distribution centers, some of which include escalating lease payments. See </w:t>
      </w:r>
      <w:r>
        <w:rPr>
          <w:rFonts w:ascii="Times New Roman" w:cs="Times New Roman" w:eastAsia="Times New Roman" w:hAnsi="Times New Roman"/>
          <w:sz w:val="18"/>
          <w:szCs w:val="18"/>
          <w:u w:val="single" w:color="auto"/>
          <w:color w:val="0000FF"/>
        </w:rPr>
        <w:t>Note 3 – Leases</w:t>
      </w:r>
      <w:r>
        <w:rPr>
          <w:rFonts w:ascii="Times New Roman" w:cs="Times New Roman" w:eastAsia="Times New Roman" w:hAnsi="Times New Roman"/>
          <w:sz w:val="18"/>
          <w:szCs w:val="18"/>
          <w:color w:val="auto"/>
        </w:rPr>
        <w:t xml:space="preserve"> for future lease payments by year.</w:t>
      </w:r>
    </w:p>
    <w:p>
      <w:pPr>
        <w:spacing w:after="0" w:line="15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December 2016, the Dallas Morning News, Inc., a wholly-owned subsidiary of the Company, entered into a 16-year lease agreement for office space for the Company’s new corporate headquarters. The Company recognizes rent expense on a straight-line basis. Per the amended lease agreement, rent payments began in November 2018.</w:t>
      </w:r>
    </w:p>
    <w:p>
      <w:pPr>
        <w:spacing w:after="0" w:line="15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currently does not expect to make contributions to the DallasNews Pension Plans in 2023 and no contributions are required to these plans in 2023 under the applicable tax and labor laws governing pension plan funding.</w:t>
      </w:r>
    </w:p>
    <w:p>
      <w:pPr>
        <w:spacing w:after="0" w:line="14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December 1, 2022, the Company’s board of directors declared a $0.16 per share dividend to shareholders of record as of the close of business on February 10, 2023, paid on March 3, 2023. On March 9, 2023, the Company’s board of directors declared a $0.16 per share dividend to shareholders of record as of the close of business on May 12, 2023, which is payable on June 2, 2023.</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75"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 xml:space="preserve">The consolidated financial statements, together with the Report of Independent Registered Public Accounting Firms, are included herein starting on </w:t>
      </w:r>
      <w:r>
        <w:rPr>
          <w:rFonts w:ascii="Times New Roman" w:cs="Times New Roman" w:eastAsia="Times New Roman" w:hAnsi="Times New Roman"/>
          <w:sz w:val="18"/>
          <w:szCs w:val="18"/>
          <w:u w:val="single" w:color="auto"/>
          <w:color w:val="0000FF"/>
        </w:rPr>
        <w:t>page</w:t>
      </w:r>
      <w:r>
        <w:rPr>
          <w:rFonts w:ascii="Times New Roman" w:cs="Times New Roman" w:eastAsia="Times New Roman" w:hAnsi="Times New Roman"/>
          <w:sz w:val="18"/>
          <w:szCs w:val="18"/>
          <w:color w:val="auto"/>
        </w:rPr>
        <w:t xml:space="preserve"> 26 of this Annual Report on Form 10-K.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Exchange Act, are controls that are designed to ensure that information required to be disclosed by the Company in reports filed or submitted under the Exchange Act is recorded, processed, summarized and reported within the time periods specified in the SEC’s rules and forms, and that such information is accumulated and communicated to management, including the Company’s Chief Executive Officer and Principal Financial Officer, as appropriate, to allow timely decisions regarding required disclosure. In designing disclosure controls and procedures, management is required to apply its judgment in evaluating the cost-benefit relationship of possible disclosure controls and procedures. The design of any disclosure controls and procedures is also based, in part, upon certain assumptions about the likelihood of future events and there can be no assurance that any design will succeed in achieving its stated goals under all potential future conditions.</w:t>
      </w:r>
    </w:p>
    <w:p>
      <w:pPr>
        <w:spacing w:after="0" w:line="14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Company’s management, with the participation of its Chief Executive Officer and Principal Financial Officer, evaluated the effectiveness of the design and operation of its disclosure controls and procedures as of December 31, 2022. Based on that evaluation, management concluded that, as of such date, the Company’s disclosure controls and procedures were effective.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75"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The management of DallasNews is responsible for establishing and maintaining adequate internal control over financial reporting as defined in Rule 13a-15(f) under the Exchange Act. The Company’s internal control over financial reporting is designed to provide reasonable assurance regarding the reliability of financial reporting and the preparation of consolidated financial statements for external purposes in accordance with accounting principles generally accepted in the United States of America. Under the supervision and with the participation of management, including the Chief Executive Officer and Principal Financial Officer, an assessment of the effectiveness of internal control over financial reporting was conducted as of December 31, 2022. In making this assessment, management used the criteria set forth by the Committee of Sponsoring Organizations of the Treadway Commission (“COSO”) in Internal Control – Integrated Framework (2013). Based on this assessment using the criteria set forth by COSO in Internal Control – Integrated Framework (2013), management concluded that the Company’s internal control over financial reporting was effective as of December 31, 2022.</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that occurred during the fourth fiscal quarter ended December 31, 2022, that have materially affected, or are reasonably likely to materially affect, the Company’s internal control over financial reporting.</w:t>
      </w:r>
    </w:p>
    <w:p>
      <w:pPr>
        <w:spacing w:after="0" w:line="200" w:lineRule="exact"/>
        <w:rPr>
          <w:sz w:val="20"/>
          <w:szCs w:val="20"/>
          <w:color w:val="auto"/>
        </w:rPr>
      </w:pPr>
    </w:p>
    <w:p>
      <w:pPr>
        <w:spacing w:after="0" w:line="269" w:lineRule="exact"/>
        <w:rPr>
          <w:sz w:val="20"/>
          <w:szCs w:val="20"/>
          <w:color w:val="auto"/>
        </w:rPr>
      </w:pPr>
    </w:p>
    <w:p>
      <w:pPr>
        <w:ind w:left="5860"/>
        <w:spacing w:after="0"/>
        <w:tabs>
          <w:tab w:leader="none" w:pos="10500" w:val="left"/>
        </w:tabs>
        <w:rPr>
          <w:sz w:val="20"/>
          <w:szCs w:val="20"/>
          <w:color w:val="auto"/>
        </w:rPr>
      </w:pPr>
      <w:r>
        <w:rPr>
          <w:rFonts w:ascii="Times New Roman" w:cs="Times New Roman" w:eastAsia="Times New Roman" w:hAnsi="Times New Roman"/>
          <w:sz w:val="18"/>
          <w:szCs w:val="18"/>
          <w:color w:val="auto"/>
        </w:rPr>
        <w:t>DallasNews Corporation 2022 Annual Report on Form 10-K</w:t>
      </w:r>
      <w:r>
        <w:rPr>
          <w:sz w:val="20"/>
          <w:szCs w:val="20"/>
          <w:color w:val="auto"/>
        </w:rPr>
        <w:tab/>
      </w:r>
      <w:r>
        <w:rPr>
          <w:rFonts w:ascii="Times New Roman" w:cs="Times New Roman" w:eastAsia="Times New Roman" w:hAnsi="Times New Roman"/>
          <w:sz w:val="17"/>
          <w:szCs w:val="17"/>
          <w:b w:val="1"/>
          <w:bCs w:val="1"/>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221615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PART III</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The information set forth under the headings “DallasNews Corporation Stock Ownership,” “Proposal One: Election of Directors,” “Corporate Governance – Committees of the Board – </w:t>
      </w: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color w:val="auto"/>
        </w:rPr>
        <w:t xml:space="preserve"> “Corporate Governance – Committees of the Board – </w:t>
      </w:r>
      <w:r>
        <w:rPr>
          <w:rFonts w:ascii="Times New Roman" w:cs="Times New Roman" w:eastAsia="Times New Roman" w:hAnsi="Times New Roman"/>
          <w:sz w:val="18"/>
          <w:szCs w:val="18"/>
          <w:i w:val="1"/>
          <w:iCs w:val="1"/>
          <w:color w:val="auto"/>
        </w:rPr>
        <w:t>Nominating and Corporate Governance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Committee,” </w:t>
      </w:r>
      <w:r>
        <w:rPr>
          <w:rFonts w:ascii="Times New Roman" w:cs="Times New Roman" w:eastAsia="Times New Roman" w:hAnsi="Times New Roman"/>
          <w:sz w:val="18"/>
          <w:szCs w:val="18"/>
          <w:color w:val="auto"/>
        </w:rPr>
        <w:t>and “Information About Our Executive Officers” contained in the definitive Proxy Statement for the Company’s Annual Meeting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to be held on May 11, 2023, is incorporated herein by reference.</w:t>
      </w:r>
    </w:p>
    <w:p>
      <w:pPr>
        <w:spacing w:after="0" w:line="14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DallasNews has adopted a Code of Business Conduct and Ethics that applies to all directors, officers and employees, which can be found at the Company’s website, </w:t>
      </w:r>
      <w:r>
        <w:rPr>
          <w:rFonts w:ascii="Times New Roman" w:cs="Times New Roman" w:eastAsia="Times New Roman" w:hAnsi="Times New Roman"/>
          <w:sz w:val="18"/>
          <w:szCs w:val="18"/>
          <w:i w:val="1"/>
          <w:iCs w:val="1"/>
          <w:color w:val="auto"/>
        </w:rPr>
        <w:t>dallasnewscorporation.com</w:t>
      </w:r>
      <w:r>
        <w:rPr>
          <w:rFonts w:ascii="Times New Roman" w:cs="Times New Roman" w:eastAsia="Times New Roman" w:hAnsi="Times New Roman"/>
          <w:sz w:val="18"/>
          <w:szCs w:val="18"/>
          <w:color w:val="auto"/>
        </w:rPr>
        <w:t>. The Company will post any amendments to the Code of Business Conduct and Ethics, as well as any waivers that are required to be disclosed by the rules of either the SEC or The Nasdaq Stock Market LLC, on the Company’s website. Information on DallasNews’ website is not incorporated by reference into this Annual Report on Form 10-K.</w:t>
      </w:r>
    </w:p>
    <w:p>
      <w:pPr>
        <w:spacing w:after="0" w:line="1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Company’s board of directors adopted Corporate Governance Guidelines and charters for the Audit, Compensation and Management Development, and Nominating and Corporate Governance Committees of the Board of Directors. These documents can be found at the Company’s website,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dallasnewscorporation.com</w:t>
      </w:r>
      <w:r>
        <w:rPr>
          <w:rFonts w:ascii="Times New Roman" w:cs="Times New Roman" w:eastAsia="Times New Roman" w:hAnsi="Times New Roman"/>
          <w:sz w:val="18"/>
          <w:szCs w:val="18"/>
          <w:color w:val="auto"/>
        </w:rPr>
        <w: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can also obtain, without charge, printed copies of any of the materials referred to above by contacting the Company at the following address: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DallasNews Corporation</w:t>
      </w:r>
    </w:p>
    <w:p>
      <w:pPr>
        <w:ind w:left="660"/>
        <w:spacing w:after="0" w:line="237" w:lineRule="auto"/>
        <w:rPr>
          <w:sz w:val="20"/>
          <w:szCs w:val="20"/>
          <w:color w:val="auto"/>
        </w:rPr>
      </w:pPr>
      <w:r>
        <w:rPr>
          <w:rFonts w:ascii="Times New Roman" w:cs="Times New Roman" w:eastAsia="Times New Roman" w:hAnsi="Times New Roman"/>
          <w:sz w:val="18"/>
          <w:szCs w:val="18"/>
          <w:color w:val="auto"/>
        </w:rPr>
        <w:t>P. O. Box 224866</w:t>
      </w:r>
    </w:p>
    <w:p>
      <w:pPr>
        <w:ind w:left="660"/>
        <w:spacing w:after="0" w:line="219" w:lineRule="auto"/>
        <w:rPr>
          <w:sz w:val="20"/>
          <w:szCs w:val="20"/>
          <w:color w:val="auto"/>
        </w:rPr>
      </w:pPr>
      <w:r>
        <w:rPr>
          <w:rFonts w:ascii="Times New Roman" w:cs="Times New Roman" w:eastAsia="Times New Roman" w:hAnsi="Times New Roman"/>
          <w:sz w:val="18"/>
          <w:szCs w:val="18"/>
          <w:color w:val="auto"/>
        </w:rPr>
        <w:t>Dallas, Texas 75222-4866</w:t>
      </w:r>
    </w:p>
    <w:p>
      <w:pPr>
        <w:ind w:left="660"/>
        <w:spacing w:after="0" w:line="235" w:lineRule="auto"/>
        <w:rPr>
          <w:sz w:val="20"/>
          <w:szCs w:val="20"/>
          <w:color w:val="auto"/>
        </w:rPr>
      </w:pPr>
      <w:r>
        <w:rPr>
          <w:rFonts w:ascii="Times New Roman" w:cs="Times New Roman" w:eastAsia="Times New Roman" w:hAnsi="Times New Roman"/>
          <w:sz w:val="18"/>
          <w:szCs w:val="18"/>
          <w:color w:val="auto"/>
        </w:rPr>
        <w:t>Attn: Investor Relations</w:t>
      </w:r>
    </w:p>
    <w:p>
      <w:pPr>
        <w:ind w:left="660"/>
        <w:spacing w:after="0"/>
        <w:rPr>
          <w:sz w:val="20"/>
          <w:szCs w:val="20"/>
          <w:color w:val="auto"/>
        </w:rPr>
      </w:pPr>
      <w:r>
        <w:rPr>
          <w:rFonts w:ascii="Times New Roman" w:cs="Times New Roman" w:eastAsia="Times New Roman" w:hAnsi="Times New Roman"/>
          <w:sz w:val="18"/>
          <w:szCs w:val="18"/>
          <w:color w:val="auto"/>
        </w:rPr>
        <w:t>Telephone: (214) 977-8869</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8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The information set forth under the headings “Corporate Governance – Committees of the Board – </w:t>
      </w:r>
      <w:r>
        <w:rPr>
          <w:rFonts w:ascii="Times New Roman" w:cs="Times New Roman" w:eastAsia="Times New Roman" w:hAnsi="Times New Roman"/>
          <w:sz w:val="18"/>
          <w:szCs w:val="18"/>
          <w:i w:val="1"/>
          <w:iCs w:val="1"/>
          <w:color w:val="auto"/>
        </w:rPr>
        <w:t>Compensation and Management Development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Committee,</w:t>
      </w:r>
      <w:r>
        <w:rPr>
          <w:rFonts w:ascii="Times New Roman" w:cs="Times New Roman" w:eastAsia="Times New Roman" w:hAnsi="Times New Roman"/>
          <w:sz w:val="18"/>
          <w:szCs w:val="18"/>
          <w:color w:val="auto"/>
        </w:rPr>
        <w:t>” “Executive Compensation – Summary Compensation Table, – Change in Control Arrangements and Other Agreements Upon Termination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 Potential Payments on Change in Control or Upon Termination of Employment at December 31, 2022,” “Corporate Governance – “Director Compensation” contained in the definitive Proxy Statement for the Company’s Annual Meeting of Shareholders to be held on May 11, 2023, is incorporated herein by reference.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information set forth under the headings “DallasNews Corporation Stock Ownership of Directors and Executive Officers” and “Equity Compensation Plan Information” contained in the definitive Proxy Statement for the Company’s Annual Meeting of Shareholders to be held on May 11, 2023, is incorporated herein by reference.</w:t>
      </w:r>
    </w:p>
    <w:p>
      <w:pPr>
        <w:spacing w:after="0" w:line="157"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 xml:space="preserve">Information regarding the number of shares of common stock authorized for issuance under the Company’s equity compensation plans is included in the Notes to the Consolidated Financial Statements, </w:t>
      </w:r>
      <w:r>
        <w:rPr>
          <w:rFonts w:ascii="Times New Roman" w:cs="Times New Roman" w:eastAsia="Times New Roman" w:hAnsi="Times New Roman"/>
          <w:sz w:val="18"/>
          <w:szCs w:val="18"/>
          <w:u w:val="single" w:color="auto"/>
          <w:color w:val="0000FF"/>
        </w:rPr>
        <w:t>Note 1 – Significant Accounting Policies and Recently Issued Accounting Standards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-29845</wp:posOffset>
            </wp:positionV>
            <wp:extent cx="38646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64610" cy="8255"/>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information set forth under the heading “Certain Relationships and Related Party Transactions” and “Corporate Governance – Director Independence” contained in the definitive Proxy Statement for the Company’s Annual Meeting of Shareholders to be held on May 11, 2023, is incorporated herein by reference.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information set forth under the heading “Proposal Two: Ratification of the Appointment of Independent Registered Public Accounting Firm” contained in the definitive Proxy Statement for the Company’s Annual Meeting of Shareholders to be held on May 11, 2023, is incorporated herein by reference.</w:t>
      </w:r>
    </w:p>
    <w:p>
      <w:pPr>
        <w:spacing w:after="0" w:line="200" w:lineRule="exact"/>
        <w:rPr>
          <w:sz w:val="20"/>
          <w:szCs w:val="20"/>
          <w:color w:val="auto"/>
        </w:rPr>
      </w:pPr>
    </w:p>
    <w:p>
      <w:pPr>
        <w:spacing w:after="0" w:line="269" w:lineRule="exact"/>
        <w:rPr>
          <w:sz w:val="20"/>
          <w:szCs w:val="20"/>
          <w:color w:val="auto"/>
        </w:rPr>
      </w:pPr>
    </w:p>
    <w:p>
      <w:pPr>
        <w:jc w:val="right"/>
        <w:spacing w:after="0"/>
        <w:tabs>
          <w:tab w:leader="none" w:pos="700" w:val="left"/>
        </w:tabs>
        <w:rPr>
          <w:sz w:val="20"/>
          <w:szCs w:val="20"/>
          <w:color w:val="auto"/>
        </w:rPr>
      </w:pPr>
      <w:r>
        <w:rPr>
          <w:rFonts w:ascii="Times New Roman" w:cs="Times New Roman" w:eastAsia="Times New Roman" w:hAnsi="Times New Roman"/>
          <w:sz w:val="18"/>
          <w:szCs w:val="18"/>
          <w:color w:val="auto"/>
        </w:rPr>
        <w:t>DallasNews Corporation 2022 Annual Report on Form 10-K</w:t>
      </w:r>
      <w:r>
        <w:rPr>
          <w:sz w:val="20"/>
          <w:szCs w:val="20"/>
          <w:color w:val="auto"/>
        </w:rPr>
        <w:tab/>
      </w:r>
      <w:r>
        <w:rPr>
          <w:rFonts w:ascii="Times New Roman" w:cs="Times New Roman" w:eastAsia="Times New Roman" w:hAnsi="Times New Roman"/>
          <w:sz w:val="17"/>
          <w:szCs w:val="17"/>
          <w:b w:val="1"/>
          <w:bCs w:val="1"/>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221615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PART IV</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31" w:lineRule="exact"/>
        <w:rPr>
          <w:sz w:val="20"/>
          <w:szCs w:val="20"/>
          <w:color w:val="auto"/>
        </w:rPr>
      </w:pPr>
    </w:p>
    <w:p>
      <w:pPr>
        <w:ind w:left="80" w:right="300" w:hanging="5"/>
        <w:spacing w:after="0" w:line="227" w:lineRule="auto"/>
        <w:tabs>
          <w:tab w:leader="none" w:pos="46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listed in the Index to Consolidated Financial Statements included in the table of contents are filed as part of this report.</w:t>
      </w:r>
    </w:p>
    <w:p>
      <w:pPr>
        <w:spacing w:after="0" w:line="1" w:lineRule="exact"/>
        <w:rPr>
          <w:rFonts w:ascii="Times New Roman" w:cs="Times New Roman" w:eastAsia="Times New Roman" w:hAnsi="Times New Roman"/>
          <w:sz w:val="18"/>
          <w:szCs w:val="18"/>
          <w:color w:val="auto"/>
        </w:rPr>
      </w:pPr>
    </w:p>
    <w:p>
      <w:pPr>
        <w:ind w:left="80" w:right="720" w:hanging="5"/>
        <w:spacing w:after="0" w:line="226"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statement schedules were omitted because they are not applicable, are not required, or the required information is shown in the consolidated financial statements or notes thereto.</w:t>
      </w:r>
    </w:p>
    <w:p>
      <w:pPr>
        <w:spacing w:after="0" w:line="1" w:lineRule="exact"/>
        <w:rPr>
          <w:rFonts w:ascii="Times New Roman" w:cs="Times New Roman" w:eastAsia="Times New Roman" w:hAnsi="Times New Roman"/>
          <w:sz w:val="18"/>
          <w:szCs w:val="18"/>
          <w:color w:val="auto"/>
        </w:rPr>
      </w:pPr>
    </w:p>
    <w:p>
      <w:pPr>
        <w:ind w:left="460" w:hanging="385"/>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5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Exhibits marked with an asterisk (*) are incorporated by reference to documents previously filed by the Company with the SEC, as indicated. In accordance with Regulation S-T, the XBRL-related information marked with a double asterisk (**) in Exhibit No. 101 to this Annual Report on Form 10-K is deemed filed. All other documents are filed with this report. Exhibits marked with a tilde (~) are management contracts, compensatory plan contracts or arrangements filed pursuant to Item 601(b)(10)(iii)(A) of Regulation S-K.</w:t>
      </w:r>
    </w:p>
    <w:p>
      <w:pPr>
        <w:spacing w:after="0" w:line="1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9" w:lineRule="exact"/>
        <w:rPr>
          <w:sz w:val="20"/>
          <w:szCs w:val="20"/>
          <w:color w:val="auto"/>
        </w:rPr>
      </w:pPr>
    </w:p>
    <w:p>
      <w:pPr>
        <w:ind w:left="240"/>
        <w:spacing w:after="0"/>
        <w:tabs>
          <w:tab w:leader="none" w:pos="96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358"/>
        </w:trPr>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780" w:type="dxa"/>
            <w:vAlign w:val="bottom"/>
            <w:tcBorders>
              <w:top w:val="single" w:sz="8" w:color="auto"/>
            </w:tcBorders>
            <w:gridSpan w:val="15"/>
            <w:shd w:val="clear" w:color="auto" w:fill="CCEEFF"/>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5">
              <w:r>
                <w:rPr>
                  <w:rFonts w:ascii="Times New Roman" w:cs="Times New Roman" w:eastAsia="Times New Roman" w:hAnsi="Times New Roman"/>
                  <w:sz w:val="18"/>
                  <w:szCs w:val="18"/>
                  <w:color w:val="0000FF"/>
                </w:rPr>
                <w:t>Certificate of Formation of A. H. Belo Corporation (successor to A. H. Belo Texas, Inc.)(Exhibit 3.1 to the April 23, 2018 Form 8-K)</w:t>
              </w:r>
            </w:hyperlink>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0000FF"/>
            </w:tcBorders>
            <w:shd w:val="clear" w:color="auto" w:fill="CCEEFF"/>
          </w:tcPr>
          <w:p>
            <w:pPr>
              <w:spacing w:after="0" w:line="20" w:lineRule="exact"/>
              <w:rPr>
                <w:sz w:val="1"/>
                <w:szCs w:val="1"/>
                <w:color w:val="auto"/>
              </w:rPr>
            </w:pPr>
          </w:p>
        </w:tc>
        <w:tc>
          <w:tcPr>
            <w:tcW w:w="29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5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4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54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3.2</w:t>
            </w:r>
          </w:p>
        </w:tc>
        <w:tc>
          <w:tcPr>
            <w:tcW w:w="10780" w:type="dxa"/>
            <w:vAlign w:val="bottom"/>
            <w:gridSpan w:val="15"/>
          </w:tcPr>
          <w:p>
            <w:pPr>
              <w:ind w:left="20"/>
              <w:spacing w:after="0" w:line="142"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56">
              <w:r>
                <w:rPr>
                  <w:rFonts w:ascii="Times New Roman" w:cs="Times New Roman" w:eastAsia="Times New Roman" w:hAnsi="Times New Roman"/>
                  <w:sz w:val="16"/>
                  <w:szCs w:val="16"/>
                  <w:color w:val="0000FF"/>
                </w:rPr>
                <w:t>Certificate of Merger (Delaware) of A. H. Belo Corporation with and into A. H. Belo Texas, Inc. (Exhibit 3.3 to the Company’s Current Report</w:t>
              </w:r>
            </w:hyperlink>
          </w:p>
        </w:tc>
      </w:tr>
      <w:tr>
        <w:trPr>
          <w:trHeight w:val="169"/>
        </w:trPr>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36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on Form 8-K filed with the Securities and Exchange Commission on July 2, 2018 (Securities and Exchange Commission File No. 001-33741)</w:t>
              </w:r>
            </w:hyperlink>
          </w:p>
        </w:tc>
        <w:tc>
          <w:tcPr>
            <w:tcW w:w="20" w:type="dxa"/>
            <w:vAlign w:val="bottom"/>
            <w:tcBorders>
              <w:top w:val="single" w:sz="8" w:color="0000EE"/>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0" w:type="dxa"/>
            <w:vAlign w:val="bottom"/>
            <w:gridSpan w:val="12"/>
          </w:tcPr>
          <w:p>
            <w:pPr>
              <w:spacing w:after="0" w:line="169"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(the “July 2, 2018 Form 8-K”))</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40" w:type="dxa"/>
            <w:vAlign w:val="bottom"/>
            <w:tcBorders>
              <w:top w:val="single" w:sz="8" w:color="0000FF"/>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5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3.3</w:t>
            </w:r>
          </w:p>
        </w:tc>
        <w:tc>
          <w:tcPr>
            <w:tcW w:w="10780" w:type="dxa"/>
            <w:vAlign w:val="bottom"/>
            <w:gridSpan w:val="15"/>
            <w:shd w:val="clear" w:color="auto" w:fill="CCEEFF"/>
          </w:tcPr>
          <w:p>
            <w:pPr>
              <w:ind w:left="20"/>
              <w:spacing w:after="0" w:line="142"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57">
              <w:r>
                <w:rPr>
                  <w:rFonts w:ascii="Times New Roman" w:cs="Times New Roman" w:eastAsia="Times New Roman" w:hAnsi="Times New Roman"/>
                  <w:sz w:val="16"/>
                  <w:szCs w:val="16"/>
                  <w:color w:val="0000FF"/>
                </w:rPr>
                <w:t>Certificate of Merger (Texas) of A. H. Belo Corporation with and into A. H. Belo Texas, Inc. (Exhibit 3.4 to the July 2, 2018 Form 8-K)</w:t>
              </w:r>
            </w:hyperlink>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0000FF"/>
            </w:tcBorders>
            <w:shd w:val="clear" w:color="auto" w:fill="CCEEFF"/>
          </w:tcPr>
          <w:p>
            <w:pPr>
              <w:spacing w:after="0" w:line="20" w:lineRule="exact"/>
              <w:rPr>
                <w:sz w:val="1"/>
                <w:szCs w:val="1"/>
                <w:color w:val="auto"/>
              </w:rPr>
            </w:pPr>
          </w:p>
        </w:tc>
        <w:tc>
          <w:tcPr>
            <w:tcW w:w="29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5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4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54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3.4</w:t>
            </w:r>
          </w:p>
        </w:tc>
        <w:tc>
          <w:tcPr>
            <w:tcW w:w="10780" w:type="dxa"/>
            <w:vAlign w:val="bottom"/>
            <w:gridSpan w:val="15"/>
          </w:tcPr>
          <w:p>
            <w:pPr>
              <w:ind w:left="20"/>
              <w:spacing w:after="0" w:line="142"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58">
              <w:r>
                <w:rPr>
                  <w:rFonts w:ascii="Times New Roman" w:cs="Times New Roman" w:eastAsia="Times New Roman" w:hAnsi="Times New Roman"/>
                  <w:sz w:val="16"/>
                  <w:szCs w:val="16"/>
                  <w:color w:val="0000FF"/>
                </w:rPr>
                <w:t>Certificate of Amendment to Certificate of Formation effective June 8, 2021 (Exhibit 3.1 to the Company’s Current Report on Form 8-K filed</w:t>
              </w:r>
            </w:hyperlink>
          </w:p>
        </w:tc>
      </w:tr>
      <w:tr>
        <w:trPr>
          <w:trHeight w:val="169"/>
        </w:trPr>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2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with the Securities and Exchange Commission on June 8, 2021 (Securities and Exchange Commission File No. 001-33741))</w:t>
              </w:r>
            </w:hyperlink>
          </w:p>
        </w:tc>
        <w:tc>
          <w:tcPr>
            <w:tcW w:w="20" w:type="dxa"/>
            <w:vAlign w:val="bottom"/>
          </w:tcPr>
          <w:p>
            <w:pPr>
              <w:spacing w:after="0"/>
              <w:rPr>
                <w:sz w:val="14"/>
                <w:szCs w:val="14"/>
                <w:color w:val="auto"/>
              </w:rPr>
            </w:pPr>
          </w:p>
        </w:tc>
      </w:tr>
      <w:tr>
        <w:trPr>
          <w:trHeight w:val="20"/>
        </w:trPr>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40" w:type="dxa"/>
            <w:vAlign w:val="bottom"/>
            <w:tcBorders>
              <w:top w:val="single" w:sz="8" w:color="0000FF"/>
            </w:tcBorders>
          </w:tcPr>
          <w:p>
            <w:pPr>
              <w:spacing w:after="0" w:line="20" w:lineRule="exact"/>
              <w:rPr>
                <w:sz w:val="1"/>
                <w:szCs w:val="1"/>
                <w:color w:val="auto"/>
              </w:rPr>
            </w:pPr>
          </w:p>
        </w:tc>
        <w:tc>
          <w:tcPr>
            <w:tcW w:w="29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5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3.5</w:t>
            </w:r>
          </w:p>
        </w:tc>
        <w:tc>
          <w:tcPr>
            <w:tcW w:w="10780" w:type="dxa"/>
            <w:vAlign w:val="bottom"/>
            <w:gridSpan w:val="15"/>
            <w:shd w:val="clear" w:color="auto" w:fill="CCEEFF"/>
          </w:tcPr>
          <w:p>
            <w:pPr>
              <w:ind w:left="20"/>
              <w:spacing w:after="0" w:line="142"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59">
              <w:r>
                <w:rPr>
                  <w:rFonts w:ascii="Times New Roman" w:cs="Times New Roman" w:eastAsia="Times New Roman" w:hAnsi="Times New Roman"/>
                  <w:sz w:val="16"/>
                  <w:szCs w:val="16"/>
                  <w:color w:val="0000FF"/>
                </w:rPr>
                <w:t>Certificate of Amendment to Certificate of Formation (changing Company name to DallasNews Corporation) effective June 29, 2021 (Exhibit</w:t>
              </w:r>
            </w:hyperlink>
          </w:p>
        </w:tc>
      </w:tr>
      <w:tr>
        <w:trPr>
          <w:trHeight w:val="169"/>
        </w:trPr>
        <w:tc>
          <w:tcPr>
            <w:tcW w:w="5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360" w:type="dxa"/>
            <w:vAlign w:val="bottom"/>
            <w:tcBorders>
              <w:top w:val="single" w:sz="8" w:color="0000FF"/>
            </w:tcBorders>
            <w:gridSpan w:val="10"/>
            <w:shd w:val="clear" w:color="auto" w:fill="CCEEFF"/>
          </w:tcPr>
          <w:p>
            <w:pPr>
              <w:spacing w:after="0" w:line="169"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Company’s Current Report of Form 8-K filed with the Securities and Exchange Commission on June 30, 2021 (Securities and</w:t>
              </w:r>
            </w:hyperlink>
          </w:p>
        </w:tc>
        <w:tc>
          <w:tcPr>
            <w:tcW w:w="80" w:type="dxa"/>
            <w:vAlign w:val="bottom"/>
            <w:tcBorders>
              <w:top w:val="single" w:sz="8" w:color="CCEEFF"/>
            </w:tcBorders>
            <w:gridSpan w:val="4"/>
            <w:shd w:val="clear" w:color="auto" w:fill="CCEEFF"/>
          </w:tcPr>
          <w:p>
            <w:pPr>
              <w:spacing w:after="0"/>
              <w:rPr>
                <w:sz w:val="14"/>
                <w:szCs w:val="14"/>
                <w:color w:val="auto"/>
              </w:rPr>
            </w:pPr>
          </w:p>
        </w:tc>
      </w:tr>
      <w:tr>
        <w:trPr>
          <w:trHeight w:val="169"/>
        </w:trPr>
        <w:tc>
          <w:tcPr>
            <w:tcW w:w="5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340" w:type="dxa"/>
            <w:vAlign w:val="bottom"/>
            <w:tcBorders>
              <w:top w:val="single" w:sz="8" w:color="0000FF"/>
            </w:tcBorders>
            <w:gridSpan w:val="9"/>
            <w:shd w:val="clear" w:color="auto" w:fill="CCEEFF"/>
          </w:tcPr>
          <w:p>
            <w:pPr>
              <w:spacing w:after="0" w:line="169"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Exchange Commission File No. 001-33741) (the “June 30, 2021 Form 8-K”))</w:t>
              </w:r>
            </w:hyperlink>
          </w:p>
        </w:tc>
        <w:tc>
          <w:tcPr>
            <w:tcW w:w="100" w:type="dxa"/>
            <w:vAlign w:val="bottom"/>
            <w:tcBorders>
              <w:top w:val="single" w:sz="8" w:color="CCEEFF"/>
            </w:tcBorders>
            <w:gridSpan w:val="5"/>
            <w:shd w:val="clear" w:color="auto" w:fill="CCEEFF"/>
          </w:tcPr>
          <w:p>
            <w:pPr>
              <w:spacing w:after="0"/>
              <w:rPr>
                <w:sz w:val="14"/>
                <w:szCs w:val="14"/>
                <w:color w:val="auto"/>
              </w:rPr>
            </w:pP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0000FF"/>
            </w:tcBorders>
            <w:shd w:val="clear" w:color="auto" w:fill="CCEEFF"/>
          </w:tcPr>
          <w:p>
            <w:pPr>
              <w:spacing w:after="0" w:line="20" w:lineRule="exact"/>
              <w:rPr>
                <w:sz w:val="1"/>
                <w:szCs w:val="1"/>
                <w:color w:val="auto"/>
              </w:rPr>
            </w:pPr>
          </w:p>
        </w:tc>
        <w:tc>
          <w:tcPr>
            <w:tcW w:w="29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54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3.6</w:t>
            </w:r>
          </w:p>
        </w:tc>
        <w:tc>
          <w:tcPr>
            <w:tcW w:w="10780" w:type="dxa"/>
            <w:vAlign w:val="bottom"/>
            <w:gridSpan w:val="15"/>
          </w:tcPr>
          <w:p>
            <w:pPr>
              <w:ind w:left="20"/>
              <w:spacing w:after="0" w:line="142"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60">
              <w:r>
                <w:rPr>
                  <w:rFonts w:ascii="Times New Roman" w:cs="Times New Roman" w:eastAsia="Times New Roman" w:hAnsi="Times New Roman"/>
                  <w:sz w:val="16"/>
                  <w:szCs w:val="16"/>
                  <w:color w:val="0000FF"/>
                </w:rPr>
                <w:t>Certificate of Correction to Certificate of Amendment (Exhibit 3.2 to the June 30, 2021 Form 8-K)</w:t>
              </w:r>
            </w:hyperlink>
          </w:p>
        </w:tc>
      </w:tr>
      <w:tr>
        <w:trPr>
          <w:trHeight w:val="21"/>
        </w:trPr>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40" w:type="dxa"/>
            <w:vAlign w:val="bottom"/>
            <w:tcBorders>
              <w:top w:val="single" w:sz="8" w:color="0000FF"/>
            </w:tcBorders>
          </w:tcPr>
          <w:p>
            <w:pPr>
              <w:spacing w:after="0" w:line="20" w:lineRule="exact"/>
              <w:rPr>
                <w:sz w:val="1"/>
                <w:szCs w:val="1"/>
                <w:color w:val="auto"/>
              </w:rPr>
            </w:pPr>
          </w:p>
        </w:tc>
        <w:tc>
          <w:tcPr>
            <w:tcW w:w="29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5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3.7</w:t>
            </w:r>
          </w:p>
        </w:tc>
        <w:tc>
          <w:tcPr>
            <w:tcW w:w="10780" w:type="dxa"/>
            <w:vAlign w:val="bottom"/>
            <w:gridSpan w:val="15"/>
            <w:shd w:val="clear" w:color="auto" w:fill="CCEEFF"/>
          </w:tcPr>
          <w:p>
            <w:pPr>
              <w:ind w:left="20"/>
              <w:spacing w:after="0" w:line="142"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61">
              <w:r>
                <w:rPr>
                  <w:rFonts w:ascii="Times New Roman" w:cs="Times New Roman" w:eastAsia="Times New Roman" w:hAnsi="Times New Roman"/>
                  <w:sz w:val="16"/>
                  <w:szCs w:val="16"/>
                  <w:color w:val="0000FF"/>
                </w:rPr>
                <w:t>Amended and Restated Bylaws of DallasNews Corporation (Exhibit 3.3 to the June 30, 2021 Form 8-K)</w:t>
              </w:r>
            </w:hyperlink>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0000FF"/>
            </w:tcBorders>
            <w:shd w:val="clear" w:color="auto" w:fill="CCEEFF"/>
          </w:tcPr>
          <w:p>
            <w:pPr>
              <w:spacing w:after="0" w:line="20" w:lineRule="exact"/>
              <w:rPr>
                <w:sz w:val="1"/>
                <w:szCs w:val="1"/>
                <w:color w:val="auto"/>
              </w:rPr>
            </w:pPr>
          </w:p>
        </w:tc>
        <w:tc>
          <w:tcPr>
            <w:tcW w:w="29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5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54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4.1</w:t>
            </w:r>
          </w:p>
        </w:tc>
        <w:tc>
          <w:tcPr>
            <w:tcW w:w="10780" w:type="dxa"/>
            <w:vAlign w:val="bottom"/>
            <w:gridSpan w:val="15"/>
          </w:tcPr>
          <w:p>
            <w:pPr>
              <w:ind w:left="20"/>
              <w:spacing w:after="0" w:line="142"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62">
              <w:r>
                <w:rPr>
                  <w:rFonts w:ascii="Times New Roman" w:cs="Times New Roman" w:eastAsia="Times New Roman" w:hAnsi="Times New Roman"/>
                  <w:sz w:val="16"/>
                  <w:szCs w:val="16"/>
                  <w:color w:val="0000FF"/>
                </w:rPr>
                <w:t>Description of Capital Stock (Exhibit 4.1 to the July 2, 2018 Form 8-K)</w:t>
              </w:r>
            </w:hyperlink>
          </w:p>
        </w:tc>
      </w:tr>
      <w:tr>
        <w:trPr>
          <w:trHeight w:val="211"/>
        </w:trPr>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1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Material Contracts</w:t>
            </w:r>
          </w:p>
        </w:tc>
        <w:tc>
          <w:tcPr>
            <w:tcW w:w="5300" w:type="dxa"/>
            <w:vAlign w:val="bottom"/>
            <w:gridSpan w:val="12"/>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540" w:right="20" w:hanging="668"/>
        <w:spacing w:after="0" w:line="224" w:lineRule="auto"/>
        <w:tabs>
          <w:tab w:leader="none" w:pos="1423" w:val="left"/>
        </w:tabs>
        <w:numPr>
          <w:ilvl w:val="0"/>
          <w:numId w:val="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hyperlink r:id="rId64">
        <w:r>
          <w:rPr>
            <w:rFonts w:ascii="Times New Roman" w:cs="Times New Roman" w:eastAsia="Times New Roman" w:hAnsi="Times New Roman"/>
            <w:sz w:val="18"/>
            <w:szCs w:val="18"/>
            <w:u w:val="single" w:color="auto"/>
            <w:color w:val="0000FF"/>
          </w:rPr>
          <w:t>Sublease Agreement for Old Dallas Library Building dated December 30, 2016 (Exhibit 10.1 to A. H. Belo Corporation’s Current</w:t>
        </w:r>
      </w:hyperlink>
      <w:r>
        <w:rPr>
          <w:rFonts w:ascii="Times New Roman" w:cs="Times New Roman" w:eastAsia="Times New Roman" w:hAnsi="Times New Roman"/>
          <w:sz w:val="18"/>
          <w:szCs w:val="18"/>
          <w:color w:val="auto"/>
        </w:rPr>
        <w:t xml:space="preserve"> </w:t>
      </w:r>
      <w:hyperlink r:id="rId64">
        <w:r>
          <w:rPr>
            <w:rFonts w:ascii="Times New Roman" w:cs="Times New Roman" w:eastAsia="Times New Roman" w:hAnsi="Times New Roman"/>
            <w:sz w:val="18"/>
            <w:szCs w:val="18"/>
            <w:u w:val="single" w:color="auto"/>
            <w:color w:val="0000FF"/>
          </w:rPr>
          <w:t>Report on Form 8-K filed with the Securities and Exchange Commission on January 3, 2017 (Securities and Exchange Commission</w:t>
        </w:r>
      </w:hyperlink>
      <w:r>
        <w:rPr>
          <w:rFonts w:ascii="Times New Roman" w:cs="Times New Roman" w:eastAsia="Times New Roman" w:hAnsi="Times New Roman"/>
          <w:sz w:val="18"/>
          <w:szCs w:val="18"/>
          <w:u w:val="single" w:color="auto"/>
          <w:color w:val="0000FF"/>
        </w:rPr>
        <w:t xml:space="preserve"> </w:t>
      </w:r>
      <w:hyperlink r:id="rId64">
        <w:r>
          <w:rPr>
            <w:rFonts w:ascii="Times New Roman" w:cs="Times New Roman" w:eastAsia="Times New Roman" w:hAnsi="Times New Roman"/>
            <w:sz w:val="18"/>
            <w:szCs w:val="18"/>
            <w:u w:val="single" w:color="auto"/>
            <w:color w:val="0000FF"/>
          </w:rPr>
          <w:t>File No. 001-33741) (the “January 3, 2017 Form 8-K”))</w:t>
        </w:r>
      </w:hyperlink>
    </w:p>
    <w:p>
      <w:pPr>
        <w:ind w:left="1440" w:hanging="568"/>
        <w:spacing w:after="0" w:line="234" w:lineRule="auto"/>
        <w:tabs>
          <w:tab w:leader="none" w:pos="1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65">
        <w:r>
          <w:rPr>
            <w:rFonts w:ascii="Times New Roman" w:cs="Times New Roman" w:eastAsia="Times New Roman" w:hAnsi="Times New Roman"/>
            <w:sz w:val="18"/>
            <w:szCs w:val="18"/>
            <w:u w:val="single" w:color="auto"/>
            <w:color w:val="0000FF"/>
          </w:rPr>
          <w:t>Guaranty of Lease dated December 30, 2016 (Exhibit 10.2 to the January 3, 2017 Form 8-K)</w:t>
        </w:r>
      </w:hyperlink>
    </w:p>
    <w:p>
      <w:pPr>
        <w:ind w:left="1540" w:right="20" w:hanging="668"/>
        <w:spacing w:after="0" w:line="228" w:lineRule="auto"/>
        <w:tabs>
          <w:tab w:leader="none" w:pos="1423" w:val="left"/>
        </w:tabs>
        <w:numPr>
          <w:ilvl w:val="0"/>
          <w:numId w:val="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hyperlink r:id="rId66">
        <w:r>
          <w:rPr>
            <w:rFonts w:ascii="Times New Roman" w:cs="Times New Roman" w:eastAsia="Times New Roman" w:hAnsi="Times New Roman"/>
            <w:sz w:val="18"/>
            <w:szCs w:val="18"/>
            <w:u w:val="single" w:color="auto"/>
            <w:color w:val="0000FF"/>
          </w:rPr>
          <w:t>Paper Supply Agreement effective as of August 5, 2019, by and between The Dallas Morning News, Inc. and Gannett Supply</w:t>
        </w:r>
      </w:hyperlink>
      <w:r>
        <w:rPr>
          <w:rFonts w:ascii="Times New Roman" w:cs="Times New Roman" w:eastAsia="Times New Roman" w:hAnsi="Times New Roman"/>
          <w:sz w:val="18"/>
          <w:szCs w:val="18"/>
          <w:color w:val="auto"/>
        </w:rPr>
        <w:t xml:space="preserve"> </w:t>
      </w:r>
      <w:hyperlink r:id="rId66">
        <w:r>
          <w:rPr>
            <w:rFonts w:ascii="Times New Roman" w:cs="Times New Roman" w:eastAsia="Times New Roman" w:hAnsi="Times New Roman"/>
            <w:sz w:val="18"/>
            <w:szCs w:val="18"/>
            <w:u w:val="single" w:color="auto"/>
            <w:color w:val="0000FF"/>
          </w:rPr>
          <w:t>Corporation (Exhibit 10.1 to A. H. Belo Corporation’s Current Report on Form 8-K filed with the Securities and Exchange</w:t>
        </w:r>
      </w:hyperlink>
      <w:r>
        <w:rPr>
          <w:rFonts w:ascii="Times New Roman" w:cs="Times New Roman" w:eastAsia="Times New Roman" w:hAnsi="Times New Roman"/>
          <w:sz w:val="18"/>
          <w:szCs w:val="18"/>
          <w:u w:val="single" w:color="auto"/>
          <w:color w:val="0000FF"/>
        </w:rPr>
        <w:t xml:space="preserve"> </w:t>
      </w:r>
      <w:hyperlink r:id="rId66">
        <w:r>
          <w:rPr>
            <w:rFonts w:ascii="Times New Roman" w:cs="Times New Roman" w:eastAsia="Times New Roman" w:hAnsi="Times New Roman"/>
            <w:sz w:val="18"/>
            <w:szCs w:val="18"/>
            <w:u w:val="single" w:color="auto"/>
            <w:color w:val="0000FF"/>
          </w:rPr>
          <w:t>Commission on May 6, 2019 (Securities and Exchange Commission File No. 001-33741))</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982345</wp:posOffset>
            </wp:positionH>
            <wp:positionV relativeFrom="paragraph">
              <wp:posOffset>-760730</wp:posOffset>
            </wp:positionV>
            <wp:extent cx="61391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6139180"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-640715</wp:posOffset>
            </wp:positionV>
            <wp:extent cx="61461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6146165" cy="8890"/>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-520700</wp:posOffset>
            </wp:positionV>
            <wp:extent cx="25571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25571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-495300</wp:posOffset>
            </wp:positionV>
            <wp:extent cx="7132320"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-263525</wp:posOffset>
            </wp:positionV>
            <wp:extent cx="614045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6140450"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-143510</wp:posOffset>
            </wp:positionV>
            <wp:extent cx="61448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6144895" cy="8890"/>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-23495</wp:posOffset>
            </wp:positionV>
            <wp:extent cx="41287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4128770" cy="8255"/>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9" w:lineRule="exact"/>
        <w:rPr>
          <w:rFonts w:ascii="Times New Roman" w:cs="Times New Roman" w:eastAsia="Times New Roman" w:hAnsi="Times New Roman"/>
          <w:sz w:val="18"/>
          <w:szCs w:val="18"/>
          <w:color w:val="auto"/>
        </w:rPr>
      </w:pPr>
    </w:p>
    <w:p>
      <w:pPr>
        <w:jc w:val="right"/>
        <w:spacing w:after="0"/>
        <w:tabs>
          <w:tab w:leader="none" w:pos="700" w:val="left"/>
        </w:tabs>
        <w:rPr>
          <w:sz w:val="20"/>
          <w:szCs w:val="20"/>
          <w:color w:val="auto"/>
        </w:rPr>
      </w:pPr>
      <w:r>
        <w:rPr>
          <w:rFonts w:ascii="Times New Roman" w:cs="Times New Roman" w:eastAsia="Times New Roman" w:hAnsi="Times New Roman"/>
          <w:sz w:val="18"/>
          <w:szCs w:val="18"/>
          <w:color w:val="auto"/>
        </w:rPr>
        <w:t>DallasNews Corporation 2022 Annual Report on Form 10-K</w:t>
      </w:r>
      <w:r>
        <w:rPr>
          <w:sz w:val="20"/>
          <w:szCs w:val="20"/>
          <w:color w:val="auto"/>
        </w:rPr>
        <w:tab/>
      </w:r>
      <w:r>
        <w:rPr>
          <w:rFonts w:ascii="Times New Roman" w:cs="Times New Roman" w:eastAsia="Times New Roman" w:hAnsi="Times New Roman"/>
          <w:sz w:val="17"/>
          <w:szCs w:val="17"/>
          <w:b w:val="1"/>
          <w:bCs w:val="1"/>
          <w:color w:val="auto"/>
        </w:rPr>
        <w:t>PAGE 21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221615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9" w:lineRule="exact"/>
        <w:rPr>
          <w:sz w:val="20"/>
          <w:szCs w:val="20"/>
          <w:color w:val="auto"/>
        </w:rPr>
      </w:pPr>
    </w:p>
    <w:p>
      <w:pPr>
        <w:ind w:left="18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7543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7132320" cy="754380"/>
                    </a:xfrm>
                    <a:prstGeom prst="rect">
                      <a:avLst/>
                    </a:prstGeom>
                    <a:noFill/>
                  </pic:spPr>
                </pic:pic>
              </a:graphicData>
            </a:graphic>
          </wp:anchor>
        </w:drawing>
      </w:r>
    </w:p>
    <w:p>
      <w:pPr>
        <w:spacing w:after="0" w:line="185" w:lineRule="exact"/>
        <w:rPr>
          <w:sz w:val="20"/>
          <w:szCs w:val="20"/>
          <w:color w:val="auto"/>
        </w:rPr>
      </w:pPr>
    </w:p>
    <w:p>
      <w:pPr>
        <w:ind w:left="1580" w:right="20" w:hanging="708"/>
        <w:spacing w:after="0" w:line="230" w:lineRule="auto"/>
        <w:tabs>
          <w:tab w:leader="none" w:pos="1378" w:val="left"/>
        </w:tabs>
        <w:numPr>
          <w:ilvl w:val="0"/>
          <w:numId w:val="10"/>
        </w:numPr>
        <w:rPr>
          <w:rFonts w:ascii="Times New Roman" w:cs="Times New Roman" w:eastAsia="Times New Roman" w:hAnsi="Times New Roman"/>
          <w:sz w:val="18"/>
          <w:szCs w:val="18"/>
          <w:u w:val="single" w:color="auto"/>
          <w:color w:val="0000FF"/>
          <w:shd w:val="clear" w:color="auto" w:fill="CCEEFF"/>
        </w:rPr>
      </w:pPr>
      <w:r>
        <w:rPr>
          <w:rFonts w:ascii="Times New Roman" w:cs="Times New Roman" w:eastAsia="Times New Roman" w:hAnsi="Times New Roman"/>
          <w:sz w:val="18"/>
          <w:szCs w:val="18"/>
          <w:color w:val="auto"/>
        </w:rPr>
        <w:t xml:space="preserve">* </w:t>
      </w:r>
      <w:hyperlink r:id="rId77">
        <w:r>
          <w:rPr>
            <w:rFonts w:ascii="Times New Roman" w:cs="Times New Roman" w:eastAsia="Times New Roman" w:hAnsi="Times New Roman"/>
            <w:sz w:val="18"/>
            <w:szCs w:val="18"/>
            <w:u w:val="single" w:color="auto"/>
            <w:color w:val="0000FF"/>
            <w:shd w:val="clear" w:color="auto" w:fill="CCEEFF"/>
          </w:rPr>
          <w:t>Purchase and Sale Agreement effective as of May 17, 2019, by and between The Dallas Morning News, Inc. and Charter DMN</w:t>
        </w:r>
      </w:hyperlink>
      <w:r>
        <w:rPr>
          <w:rFonts w:ascii="Times New Roman" w:cs="Times New Roman" w:eastAsia="Times New Roman" w:hAnsi="Times New Roman"/>
          <w:sz w:val="18"/>
          <w:szCs w:val="18"/>
          <w:color w:val="auto"/>
        </w:rPr>
        <w:t xml:space="preserve"> </w:t>
      </w:r>
      <w:hyperlink r:id="rId77">
        <w:r>
          <w:rPr>
            <w:rFonts w:ascii="Times New Roman" w:cs="Times New Roman" w:eastAsia="Times New Roman" w:hAnsi="Times New Roman"/>
            <w:sz w:val="18"/>
            <w:szCs w:val="18"/>
            <w:u w:val="single" w:color="auto"/>
            <w:color w:val="0000FF"/>
            <w:shd w:val="clear" w:color="auto" w:fill="CCEEFF"/>
          </w:rPr>
          <w:t>Holdings, LP, together with related Promissory Note dated May 17, 2019, in the original principal amount of $22.4 million made by</w:t>
        </w:r>
      </w:hyperlink>
      <w:r>
        <w:rPr>
          <w:rFonts w:ascii="Times New Roman" w:cs="Times New Roman" w:eastAsia="Times New Roman" w:hAnsi="Times New Roman"/>
          <w:sz w:val="18"/>
          <w:szCs w:val="18"/>
          <w:u w:val="single" w:color="auto"/>
          <w:color w:val="0000FF"/>
          <w:shd w:val="clear" w:color="auto" w:fill="CCEEFF"/>
        </w:rPr>
        <w:t xml:space="preserve"> </w:t>
      </w:r>
      <w:hyperlink r:id="rId77">
        <w:r>
          <w:rPr>
            <w:rFonts w:ascii="Times New Roman" w:cs="Times New Roman" w:eastAsia="Times New Roman" w:hAnsi="Times New Roman"/>
            <w:sz w:val="18"/>
            <w:szCs w:val="18"/>
            <w:u w:val="single" w:color="auto"/>
            <w:color w:val="0000FF"/>
            <w:shd w:val="clear" w:color="auto" w:fill="CCEEFF"/>
          </w:rPr>
          <w:t>Charter DMN Holdings, LP, payable to The Dallas Morning News, Inc. (Exhibit 10.1 to A. H. Belo Corporation’s Current Report on</w:t>
        </w:r>
      </w:hyperlink>
      <w:r>
        <w:rPr>
          <w:rFonts w:ascii="Times New Roman" w:cs="Times New Roman" w:eastAsia="Times New Roman" w:hAnsi="Times New Roman"/>
          <w:sz w:val="18"/>
          <w:szCs w:val="18"/>
          <w:u w:val="single" w:color="auto"/>
          <w:color w:val="0000FF"/>
          <w:shd w:val="clear" w:color="auto" w:fill="CCEEFF"/>
        </w:rPr>
        <w:t xml:space="preserve"> </w:t>
      </w:r>
      <w:hyperlink r:id="rId77">
        <w:r>
          <w:rPr>
            <w:rFonts w:ascii="Times New Roman" w:cs="Times New Roman" w:eastAsia="Times New Roman" w:hAnsi="Times New Roman"/>
            <w:sz w:val="18"/>
            <w:szCs w:val="18"/>
            <w:u w:val="single" w:color="auto"/>
            <w:color w:val="0000FF"/>
            <w:shd w:val="clear" w:color="auto" w:fill="CCEEFF"/>
          </w:rPr>
          <w:t>Form 8-K filed with the Securities and Exchange Commission on May 17, 2019 (Securities and Exchange Commission File No. 001-</w:t>
        </w:r>
      </w:hyperlink>
      <w:hyperlink r:id="rId77">
        <w:r>
          <w:rPr>
            <w:rFonts w:ascii="Times New Roman" w:cs="Times New Roman" w:eastAsia="Times New Roman" w:hAnsi="Times New Roman"/>
            <w:sz w:val="18"/>
            <w:szCs w:val="18"/>
            <w:u w:val="single" w:color="auto"/>
            <w:color w:val="0000FF"/>
            <w:shd w:val="clear" w:color="auto" w:fill="CCEEFF"/>
          </w:rPr>
          <w:t>33741))</w:t>
        </w:r>
      </w:hyperlink>
    </w:p>
    <w:p>
      <w:pPr>
        <w:ind w:left="2000" w:right="20" w:hanging="615"/>
        <w:spacing w:after="0" w:line="226" w:lineRule="auto"/>
        <w:tabs>
          <w:tab w:leader="none" w:pos="1773" w:val="left"/>
        </w:tabs>
        <w:numPr>
          <w:ilvl w:val="0"/>
          <w:numId w:val="1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(a) </w:t>
      </w:r>
      <w:hyperlink r:id="rId78">
        <w:r>
          <w:rPr>
            <w:rFonts w:ascii="Times New Roman" w:cs="Times New Roman" w:eastAsia="Times New Roman" w:hAnsi="Times New Roman"/>
            <w:sz w:val="18"/>
            <w:szCs w:val="18"/>
            <w:u w:val="single" w:color="auto"/>
            <w:color w:val="0000FF"/>
          </w:rPr>
          <w:t>Modification Agreement effective April 1, 2020 to Promissory Note dated May 17, 2020 (Exhibit 10.1 to the April 6, 2020</w:t>
        </w:r>
      </w:hyperlink>
      <w:r>
        <w:rPr>
          <w:rFonts w:ascii="Times New Roman" w:cs="Times New Roman" w:eastAsia="Times New Roman" w:hAnsi="Times New Roman"/>
          <w:sz w:val="18"/>
          <w:szCs w:val="18"/>
          <w:color w:val="auto"/>
        </w:rPr>
        <w:t xml:space="preserve"> </w:t>
      </w:r>
      <w:hyperlink r:id="rId78">
        <w:r>
          <w:rPr>
            <w:rFonts w:ascii="Times New Roman" w:cs="Times New Roman" w:eastAsia="Times New Roman" w:hAnsi="Times New Roman"/>
            <w:sz w:val="18"/>
            <w:szCs w:val="18"/>
            <w:u w:val="single" w:color="auto"/>
            <w:color w:val="0000FF"/>
          </w:rPr>
          <w:t>Form 8-K)</w:t>
        </w:r>
      </w:hyperlink>
    </w:p>
    <w:p>
      <w:pPr>
        <w:spacing w:after="0" w:line="1" w:lineRule="exact"/>
        <w:rPr>
          <w:rFonts w:ascii="Times New Roman" w:cs="Times New Roman" w:eastAsia="Times New Roman" w:hAnsi="Times New Roman"/>
          <w:sz w:val="18"/>
          <w:szCs w:val="18"/>
          <w:u w:val="single" w:color="auto"/>
          <w:color w:val="0000FF"/>
        </w:rPr>
      </w:pPr>
    </w:p>
    <w:p>
      <w:pPr>
        <w:ind w:left="2000" w:right="20" w:hanging="615"/>
        <w:spacing w:after="0" w:line="226" w:lineRule="auto"/>
        <w:tabs>
          <w:tab w:leader="none" w:pos="1763" w:val="left"/>
        </w:tabs>
        <w:numPr>
          <w:ilvl w:val="0"/>
          <w:numId w:val="11"/>
        </w:numPr>
        <w:rPr>
          <w:rFonts w:ascii="Times New Roman" w:cs="Times New Roman" w:eastAsia="Times New Roman" w:hAnsi="Times New Roman"/>
          <w:sz w:val="18"/>
          <w:szCs w:val="18"/>
          <w:u w:val="single" w:color="auto"/>
          <w:color w:val="0000FF"/>
          <w:shd w:val="clear" w:color="auto" w:fill="CCEEFF"/>
        </w:rPr>
      </w:pPr>
      <w:r>
        <w:rPr>
          <w:rFonts w:ascii="Times New Roman" w:cs="Times New Roman" w:eastAsia="Times New Roman" w:hAnsi="Times New Roman"/>
          <w:sz w:val="18"/>
          <w:szCs w:val="18"/>
          <w:color w:val="auto"/>
        </w:rPr>
        <w:t xml:space="preserve">(b) </w:t>
      </w:r>
      <w:hyperlink r:id="rId79">
        <w:r>
          <w:rPr>
            <w:rFonts w:ascii="Times New Roman" w:cs="Times New Roman" w:eastAsia="Times New Roman" w:hAnsi="Times New Roman"/>
            <w:sz w:val="18"/>
            <w:szCs w:val="18"/>
            <w:u w:val="single" w:color="auto"/>
            <w:color w:val="0000FF"/>
            <w:shd w:val="clear" w:color="auto" w:fill="CCEEFF"/>
          </w:rPr>
          <w:t>Promissory Note (Interest and Property Tax Reconciliation) effective April 1, 2020 (Exhibit 10.2 to the April 6, 2020 Form 8-</w:t>
        </w:r>
      </w:hyperlink>
      <w:hyperlink r:id="rId79">
        <w:r>
          <w:rPr>
            <w:rFonts w:ascii="Times New Roman" w:cs="Times New Roman" w:eastAsia="Times New Roman" w:hAnsi="Times New Roman"/>
            <w:sz w:val="18"/>
            <w:szCs w:val="18"/>
            <w:u w:val="single" w:color="auto"/>
            <w:color w:val="0000FF"/>
            <w:shd w:val="clear" w:color="auto" w:fill="CCEEFF"/>
          </w:rPr>
          <w:t>K)</w:t>
        </w:r>
      </w:hyperlink>
    </w:p>
    <w:p>
      <w:pPr>
        <w:spacing w:after="0" w:line="1" w:lineRule="exact"/>
        <w:rPr>
          <w:rFonts w:ascii="Times New Roman" w:cs="Times New Roman" w:eastAsia="Times New Roman" w:hAnsi="Times New Roman"/>
          <w:sz w:val="18"/>
          <w:szCs w:val="18"/>
          <w:u w:val="single" w:color="auto"/>
          <w:color w:val="0000FF"/>
          <w:shd w:val="clear" w:color="auto" w:fill="CCEEFF"/>
        </w:rPr>
      </w:pPr>
    </w:p>
    <w:p>
      <w:pPr>
        <w:ind w:left="1780" w:hanging="395"/>
        <w:spacing w:after="0" w:line="234" w:lineRule="auto"/>
        <w:tabs>
          <w:tab w:leader="none" w:pos="1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 </w:t>
      </w:r>
      <w:hyperlink r:id="rId80">
        <w:r>
          <w:rPr>
            <w:rFonts w:ascii="Times New Roman" w:cs="Times New Roman" w:eastAsia="Times New Roman" w:hAnsi="Times New Roman"/>
            <w:sz w:val="18"/>
            <w:szCs w:val="18"/>
            <w:u w:val="single" w:color="auto"/>
            <w:color w:val="0000FF"/>
          </w:rPr>
          <w:t>Second Modification Agreement effective June 30, 2021 (Exhibit 10.1 to the June 30, 2021 Form 8-K)</w:t>
        </w:r>
      </w:hyperlink>
    </w:p>
    <w:p>
      <w:pPr>
        <w:ind w:left="2000" w:right="20" w:hanging="615"/>
        <w:spacing w:after="0" w:line="229" w:lineRule="auto"/>
        <w:tabs>
          <w:tab w:leader="none" w:pos="1763" w:val="left"/>
        </w:tabs>
        <w:numPr>
          <w:ilvl w:val="0"/>
          <w:numId w:val="1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(d) </w:t>
      </w:r>
      <w:hyperlink r:id="rId81">
        <w:r>
          <w:rPr>
            <w:rFonts w:ascii="Times New Roman" w:cs="Times New Roman" w:eastAsia="Times New Roman" w:hAnsi="Times New Roman"/>
            <w:sz w:val="18"/>
            <w:szCs w:val="18"/>
            <w:u w:val="single" w:color="auto"/>
            <w:color w:val="0000FF"/>
          </w:rPr>
          <w:t>Third Modification Agreement effective June 30, 2022 (Exhibit 10.1 to DallasNews Corporation’s Current Report on Form 8-K</w:t>
        </w:r>
      </w:hyperlink>
      <w:r>
        <w:rPr>
          <w:rFonts w:ascii="Times New Roman" w:cs="Times New Roman" w:eastAsia="Times New Roman" w:hAnsi="Times New Roman"/>
          <w:sz w:val="18"/>
          <w:szCs w:val="18"/>
          <w:color w:val="auto"/>
        </w:rPr>
        <w:t xml:space="preserve"> </w:t>
      </w:r>
      <w:hyperlink r:id="rId81">
        <w:r>
          <w:rPr>
            <w:rFonts w:ascii="Times New Roman" w:cs="Times New Roman" w:eastAsia="Times New Roman" w:hAnsi="Times New Roman"/>
            <w:sz w:val="18"/>
            <w:szCs w:val="18"/>
            <w:u w:val="single" w:color="auto"/>
            <w:color w:val="0000FF"/>
          </w:rPr>
          <w:t>filed with the Securities and Exchange Commission on June 30, 2022 (Securities and Exchange Commission File No. 001-</w:t>
        </w:r>
      </w:hyperlink>
      <w:hyperlink r:id="rId81">
        <w:r>
          <w:rPr>
            <w:rFonts w:ascii="Times New Roman" w:cs="Times New Roman" w:eastAsia="Times New Roman" w:hAnsi="Times New Roman"/>
            <w:sz w:val="18"/>
            <w:szCs w:val="18"/>
            <w:u w:val="single" w:color="auto"/>
            <w:color w:val="0000FF"/>
          </w:rPr>
          <w:t>33741))</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1273810</wp:posOffset>
            </wp:positionH>
            <wp:positionV relativeFrom="paragraph">
              <wp:posOffset>-890905</wp:posOffset>
            </wp:positionV>
            <wp:extent cx="584898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2">
                      <a:extLst>
                        <a:ext uri="{28A0092B-C50C-407E-A947-70E740481C1C}"/>
                      </a:extLst>
                    </a:blip>
                    <a:srcRect/>
                    <a:stretch>
                      <a:fillRect/>
                    </a:stretch>
                  </pic:blipFill>
                  <pic:spPr bwMode="auto">
                    <a:xfrm>
                      <a:off x="0" y="0"/>
                      <a:ext cx="58489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-770890</wp:posOffset>
            </wp:positionV>
            <wp:extent cx="7132320" cy="274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3943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4">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ind w:left="20"/>
        <w:spacing w:after="0" w:line="233" w:lineRule="auto"/>
        <w:tabs>
          <w:tab w:leader="none" w:pos="540" w:val="left"/>
          <w:tab w:leader="none" w:pos="860" w:val="left"/>
        </w:tabs>
        <w:rPr>
          <w:sz w:val="20"/>
          <w:szCs w:val="20"/>
          <w:color w:val="auto"/>
        </w:rPr>
      </w:pPr>
      <w:r>
        <w:rPr>
          <w:rFonts w:ascii="Times New Roman" w:cs="Times New Roman" w:eastAsia="Times New Roman" w:hAnsi="Times New Roman"/>
          <w:sz w:val="18"/>
          <w:szCs w:val="18"/>
          <w:color w:val="auto"/>
        </w:rPr>
        <w:t>10.2</w:t>
        <w:tab/>
        <w:t>*</w:t>
      </w:r>
      <w:r>
        <w:rPr>
          <w:sz w:val="20"/>
          <w:szCs w:val="20"/>
          <w:color w:val="auto"/>
        </w:rPr>
        <w:tab/>
      </w:r>
      <w:r>
        <w:rPr>
          <w:rFonts w:ascii="Times New Roman" w:cs="Times New Roman" w:eastAsia="Times New Roman" w:hAnsi="Times New Roman"/>
          <w:sz w:val="17"/>
          <w:szCs w:val="17"/>
          <w:color w:val="auto"/>
        </w:rPr>
        <w:t>Compensatory plans and arrangements:</w:t>
      </w:r>
    </w:p>
    <w:p>
      <w:pPr>
        <w:spacing w:after="0" w:line="1" w:lineRule="exact"/>
        <w:rPr>
          <w:rFonts w:ascii="Times New Roman" w:cs="Times New Roman" w:eastAsia="Times New Roman" w:hAnsi="Times New Roman"/>
          <w:sz w:val="18"/>
          <w:szCs w:val="18"/>
          <w:color w:val="auto"/>
        </w:rPr>
      </w:pPr>
    </w:p>
    <w:p>
      <w:pPr>
        <w:jc w:val="right"/>
        <w:ind w:left="880" w:right="20"/>
        <w:spacing w:after="0" w:line="22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   * </w:t>
      </w:r>
      <w:hyperlink r:id="rId85">
        <w:r>
          <w:rPr>
            <w:rFonts w:ascii="Times New Roman" w:cs="Times New Roman" w:eastAsia="Times New Roman" w:hAnsi="Times New Roman"/>
            <w:sz w:val="18"/>
            <w:szCs w:val="18"/>
            <w:u w:val="single" w:color="auto"/>
            <w:color w:val="0000FF"/>
          </w:rPr>
          <w:t>DallasNews Savings Plan as Amended and Restated Effective January 1, 2022 (Exhibit 10.2(1) to the Company’s Quarterly Report</w:t>
        </w:r>
      </w:hyperlink>
      <w:r>
        <w:rPr>
          <w:rFonts w:ascii="Times New Roman" w:cs="Times New Roman" w:eastAsia="Times New Roman" w:hAnsi="Times New Roman"/>
          <w:sz w:val="18"/>
          <w:szCs w:val="18"/>
          <w:color w:val="auto"/>
        </w:rPr>
        <w:t xml:space="preserve"> </w:t>
      </w:r>
      <w:hyperlink r:id="rId85">
        <w:r>
          <w:rPr>
            <w:rFonts w:ascii="Times New Roman" w:cs="Times New Roman" w:eastAsia="Times New Roman" w:hAnsi="Times New Roman"/>
            <w:sz w:val="18"/>
            <w:szCs w:val="18"/>
            <w:u w:val="single" w:color="auto"/>
            <w:color w:val="0000FF"/>
          </w:rPr>
          <w:t>on Form 10-Q filed with the Securities and Exchange Commission on July 29, 2022 (Securities and Exchange Commission File No.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3683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6">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ind w:left="1580"/>
        <w:spacing w:after="0" w:line="221" w:lineRule="auto"/>
        <w:rPr>
          <w:rFonts w:ascii="Times New Roman" w:cs="Times New Roman" w:eastAsia="Times New Roman" w:hAnsi="Times New Roman"/>
          <w:sz w:val="18"/>
          <w:szCs w:val="18"/>
          <w:u w:val="single" w:color="auto"/>
          <w:color w:val="0000FF"/>
        </w:rPr>
      </w:pPr>
      <w:hyperlink r:id="rId85">
        <w:r>
          <w:rPr>
            <w:rFonts w:ascii="Times New Roman" w:cs="Times New Roman" w:eastAsia="Times New Roman" w:hAnsi="Times New Roman"/>
            <w:sz w:val="18"/>
            <w:szCs w:val="18"/>
            <w:u w:val="single" w:color="auto"/>
            <w:color w:val="0000FF"/>
          </w:rPr>
          <w:t>001-33741))</w:t>
        </w:r>
      </w:hyperlink>
    </w:p>
    <w:p>
      <w:pPr>
        <w:ind w:left="1400" w:right="20" w:hanging="714"/>
        <w:spacing w:after="0" w:line="226" w:lineRule="auto"/>
        <w:tabs>
          <w:tab w:leader="none" w:pos="13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w:t>
        <w:tab/>
        <w:t xml:space="preserve">* </w:t>
      </w:r>
      <w:hyperlink r:id="rId87">
        <w:r>
          <w:rPr>
            <w:rFonts w:ascii="Times New Roman" w:cs="Times New Roman" w:eastAsia="Times New Roman" w:hAnsi="Times New Roman"/>
            <w:sz w:val="18"/>
            <w:szCs w:val="18"/>
            <w:u w:val="single" w:color="auto"/>
            <w:color w:val="0000FF"/>
          </w:rPr>
          <w:t>A. H. Belo 2017 Incentive Compensation Plan (Exhibit I to A. H. Belo Corporation’s Schedule 14A Proxy Statement filed with the</w:t>
        </w:r>
      </w:hyperlink>
      <w:r>
        <w:rPr>
          <w:rFonts w:ascii="Times New Roman" w:cs="Times New Roman" w:eastAsia="Times New Roman" w:hAnsi="Times New Roman"/>
          <w:sz w:val="18"/>
          <w:szCs w:val="18"/>
          <w:color w:val="auto"/>
        </w:rPr>
        <w:t xml:space="preserve"> </w:t>
      </w:r>
      <w:hyperlink r:id="rId87">
        <w:r>
          <w:rPr>
            <w:rFonts w:ascii="Times New Roman" w:cs="Times New Roman" w:eastAsia="Times New Roman" w:hAnsi="Times New Roman"/>
            <w:sz w:val="18"/>
            <w:szCs w:val="18"/>
            <w:u w:val="single" w:color="auto"/>
            <w:color w:val="0000FF"/>
          </w:rPr>
          <w:t>Securities and Exchange Commission on March 28,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-136525</wp:posOffset>
            </wp:positionV>
            <wp:extent cx="61194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8">
                      <a:extLst>
                        <a:ext uri="{28A0092B-C50C-407E-A947-70E740481C1C}"/>
                      </a:extLst>
                    </a:blip>
                    <a:srcRect/>
                    <a:stretch>
                      <a:fillRect/>
                    </a:stretch>
                  </pic:blipFill>
                  <pic:spPr bwMode="auto">
                    <a:xfrm>
                      <a:off x="0" y="0"/>
                      <a:ext cx="6119495" cy="8255"/>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-16510</wp:posOffset>
            </wp:positionV>
            <wp:extent cx="26650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9">
                      <a:extLst>
                        <a:ext uri="{28A0092B-C50C-407E-A947-70E740481C1C}"/>
                      </a:extLst>
                    </a:blip>
                    <a:srcRect/>
                    <a:stretch>
                      <a:fillRect/>
                    </a:stretch>
                  </pic:blipFill>
                  <pic:spPr bwMode="auto">
                    <a:xfrm>
                      <a:off x="0" y="0"/>
                      <a:ext cx="2665095" cy="8255"/>
                    </a:xfrm>
                    <a:prstGeom prst="rect">
                      <a:avLst/>
                    </a:prstGeom>
                    <a:noFill/>
                  </pic:spPr>
                </pic:pic>
              </a:graphicData>
            </a:graphic>
          </wp:anchor>
        </w:drawing>
      </w:r>
    </w:p>
    <w:p>
      <w:pPr>
        <w:ind w:left="2000" w:right="20" w:hanging="602"/>
        <w:spacing w:after="0" w:line="224" w:lineRule="auto"/>
        <w:tabs>
          <w:tab w:leader="none" w:pos="1773" w:val="left"/>
        </w:tabs>
        <w:numPr>
          <w:ilvl w:val="0"/>
          <w:numId w:val="1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(a) </w:t>
      </w:r>
      <w:hyperlink r:id="rId90">
        <w:r>
          <w:rPr>
            <w:rFonts w:ascii="Times New Roman" w:cs="Times New Roman" w:eastAsia="Times New Roman" w:hAnsi="Times New Roman"/>
            <w:sz w:val="18"/>
            <w:szCs w:val="18"/>
            <w:u w:val="single" w:color="auto"/>
            <w:color w:val="0000FF"/>
          </w:rPr>
          <w:t>Form of A. H. Belo 2017 Incentive Compensation Plan Evidence of Grant (for Non-Employee Directors) (Exhibit 10.1 to A. H.</w:t>
        </w:r>
      </w:hyperlink>
      <w:r>
        <w:rPr>
          <w:rFonts w:ascii="Times New Roman" w:cs="Times New Roman" w:eastAsia="Times New Roman" w:hAnsi="Times New Roman"/>
          <w:sz w:val="18"/>
          <w:szCs w:val="18"/>
          <w:color w:val="auto"/>
        </w:rPr>
        <w:t xml:space="preserve"> </w:t>
      </w:r>
      <w:hyperlink r:id="rId90">
        <w:r>
          <w:rPr>
            <w:rFonts w:ascii="Times New Roman" w:cs="Times New Roman" w:eastAsia="Times New Roman" w:hAnsi="Times New Roman"/>
            <w:sz w:val="18"/>
            <w:szCs w:val="18"/>
            <w:u w:val="single" w:color="auto"/>
            <w:color w:val="0000FF"/>
          </w:rPr>
          <w:t>Belo Corporation’s Current Report on Form 8-K filed with the Securities and Exchange Commission on May 12, 2017</w:t>
        </w:r>
      </w:hyperlink>
      <w:r>
        <w:rPr>
          <w:rFonts w:ascii="Times New Roman" w:cs="Times New Roman" w:eastAsia="Times New Roman" w:hAnsi="Times New Roman"/>
          <w:sz w:val="18"/>
          <w:szCs w:val="18"/>
          <w:u w:val="single" w:color="auto"/>
          <w:color w:val="0000FF"/>
        </w:rPr>
        <w:t xml:space="preserve"> </w:t>
      </w:r>
      <w:hyperlink r:id="rId90">
        <w:r>
          <w:rPr>
            <w:rFonts w:ascii="Times New Roman" w:cs="Times New Roman" w:eastAsia="Times New Roman" w:hAnsi="Times New Roman"/>
            <w:sz w:val="18"/>
            <w:szCs w:val="18"/>
            <w:u w:val="single" w:color="auto"/>
            <w:color w:val="0000FF"/>
          </w:rPr>
          <w:t>(Securities and Exchange Commission File No. 001-33741) (the “May 12, 2017 Form 8-K”))</w:t>
        </w:r>
      </w:hyperlink>
    </w:p>
    <w:p>
      <w:pPr>
        <w:ind w:left="2000" w:right="20" w:hanging="602"/>
        <w:spacing w:after="0" w:line="226" w:lineRule="auto"/>
        <w:tabs>
          <w:tab w:leader="none" w:pos="1763" w:val="left"/>
        </w:tabs>
        <w:numPr>
          <w:ilvl w:val="0"/>
          <w:numId w:val="1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(b) </w:t>
      </w:r>
      <w:hyperlink r:id="rId91">
        <w:r>
          <w:rPr>
            <w:rFonts w:ascii="Times New Roman" w:cs="Times New Roman" w:eastAsia="Times New Roman" w:hAnsi="Times New Roman"/>
            <w:sz w:val="18"/>
            <w:szCs w:val="18"/>
            <w:u w:val="single" w:color="auto"/>
            <w:color w:val="0000FF"/>
          </w:rPr>
          <w:t>Form of A. H. Belo 2017 Incentive Compensation Plan Evidence of Grant (for Employee Awards) (Exhibit 10.2 to the May 12,</w:t>
        </w:r>
      </w:hyperlink>
      <w:r>
        <w:rPr>
          <w:rFonts w:ascii="Times New Roman" w:cs="Times New Roman" w:eastAsia="Times New Roman" w:hAnsi="Times New Roman"/>
          <w:sz w:val="18"/>
          <w:szCs w:val="18"/>
          <w:color w:val="auto"/>
        </w:rPr>
        <w:t xml:space="preserve"> </w:t>
      </w:r>
      <w:hyperlink r:id="rId91">
        <w:r>
          <w:rPr>
            <w:rFonts w:ascii="Times New Roman" w:cs="Times New Roman" w:eastAsia="Times New Roman" w:hAnsi="Times New Roman"/>
            <w:sz w:val="18"/>
            <w:szCs w:val="18"/>
            <w:u w:val="single" w:color="auto"/>
            <w:color w:val="0000FF"/>
          </w:rPr>
          <w:t>2017 Form 8-K)</w:t>
        </w:r>
      </w:hyperlink>
    </w:p>
    <w:p>
      <w:pPr>
        <w:spacing w:after="0" w:line="1" w:lineRule="exact"/>
        <w:rPr>
          <w:rFonts w:ascii="Times New Roman" w:cs="Times New Roman" w:eastAsia="Times New Roman" w:hAnsi="Times New Roman"/>
          <w:sz w:val="18"/>
          <w:szCs w:val="18"/>
          <w:u w:val="single" w:color="auto"/>
          <w:color w:val="0000FF"/>
        </w:rPr>
      </w:pPr>
    </w:p>
    <w:p>
      <w:pPr>
        <w:ind w:left="1780" w:hanging="382"/>
        <w:spacing w:after="0" w:line="234" w:lineRule="auto"/>
        <w:tabs>
          <w:tab w:leader="none" w:pos="1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 </w:t>
      </w:r>
      <w:hyperlink r:id="rId92">
        <w:r>
          <w:rPr>
            <w:rFonts w:ascii="Times New Roman" w:cs="Times New Roman" w:eastAsia="Times New Roman" w:hAnsi="Times New Roman"/>
            <w:sz w:val="18"/>
            <w:szCs w:val="18"/>
            <w:u w:val="single" w:color="auto"/>
            <w:color w:val="0000FF"/>
          </w:rPr>
          <w:t>First Amendment to the A. H. Belo 2017 Incentive Compensation Plan (Exhibit 10.1 to the July 2, 2018 Form 8-K)</w:t>
        </w:r>
      </w:hyperlink>
    </w:p>
    <w:p>
      <w:pPr>
        <w:ind w:left="2000" w:right="20" w:hanging="602"/>
        <w:spacing w:after="0" w:line="224" w:lineRule="auto"/>
        <w:tabs>
          <w:tab w:leader="none" w:pos="1763" w:val="left"/>
        </w:tabs>
        <w:numPr>
          <w:ilvl w:val="0"/>
          <w:numId w:val="1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(d) </w:t>
      </w:r>
      <w:hyperlink r:id="rId93">
        <w:r>
          <w:rPr>
            <w:rFonts w:ascii="Times New Roman" w:cs="Times New Roman" w:eastAsia="Times New Roman" w:hAnsi="Times New Roman"/>
            <w:sz w:val="18"/>
            <w:szCs w:val="18"/>
            <w:u w:val="single" w:color="auto"/>
            <w:color w:val="0000FF"/>
          </w:rPr>
          <w:t>Second Amendment to the A. H. Belo 2017 Incentive Compensation Plan (Exhibit 10.3 to A. H. Belo Corporation’s Current</w:t>
        </w:r>
      </w:hyperlink>
      <w:r>
        <w:rPr>
          <w:rFonts w:ascii="Times New Roman" w:cs="Times New Roman" w:eastAsia="Times New Roman" w:hAnsi="Times New Roman"/>
          <w:sz w:val="18"/>
          <w:szCs w:val="18"/>
          <w:color w:val="auto"/>
        </w:rPr>
        <w:t xml:space="preserve"> </w:t>
      </w:r>
      <w:hyperlink r:id="rId93">
        <w:r>
          <w:rPr>
            <w:rFonts w:ascii="Times New Roman" w:cs="Times New Roman" w:eastAsia="Times New Roman" w:hAnsi="Times New Roman"/>
            <w:sz w:val="18"/>
            <w:szCs w:val="18"/>
            <w:u w:val="single" w:color="auto"/>
            <w:color w:val="0000FF"/>
          </w:rPr>
          <w:t>Report on Form 8-K filed with the Securities and Exchange Commission on December 11, 2018 (Securities and Exchange</w:t>
        </w:r>
      </w:hyperlink>
      <w:r>
        <w:rPr>
          <w:rFonts w:ascii="Times New Roman" w:cs="Times New Roman" w:eastAsia="Times New Roman" w:hAnsi="Times New Roman"/>
          <w:sz w:val="18"/>
          <w:szCs w:val="18"/>
          <w:u w:val="single" w:color="auto"/>
          <w:color w:val="0000FF"/>
        </w:rPr>
        <w:t xml:space="preserve"> </w:t>
      </w:r>
      <w:hyperlink r:id="rId93">
        <w:r>
          <w:rPr>
            <w:rFonts w:ascii="Times New Roman" w:cs="Times New Roman" w:eastAsia="Times New Roman" w:hAnsi="Times New Roman"/>
            <w:sz w:val="18"/>
            <w:szCs w:val="18"/>
            <w:u w:val="single" w:color="auto"/>
            <w:color w:val="0000FF"/>
          </w:rPr>
          <w:t>Commission File No. 001-33741))</w:t>
        </w:r>
      </w:hyperlink>
    </w:p>
    <w:p>
      <w:pPr>
        <w:jc w:val="right"/>
        <w:ind w:left="2000" w:right="20" w:hanging="602"/>
        <w:spacing w:after="0" w:line="226" w:lineRule="auto"/>
        <w:tabs>
          <w:tab w:leader="none" w:pos="1773" w:val="left"/>
        </w:tabs>
        <w:numPr>
          <w:ilvl w:val="0"/>
          <w:numId w:val="1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(e) </w:t>
      </w:r>
      <w:hyperlink r:id="rId94">
        <w:r>
          <w:rPr>
            <w:rFonts w:ascii="Times New Roman" w:cs="Times New Roman" w:eastAsia="Times New Roman" w:hAnsi="Times New Roman"/>
            <w:sz w:val="18"/>
            <w:szCs w:val="18"/>
            <w:u w:val="single" w:color="auto"/>
            <w:color w:val="0000FF"/>
          </w:rPr>
          <w:t>Third Amendment to the A. H. Belo 2017 Incentive Compensation Plan (changing name of plan to the DallasNews 2017</w:t>
        </w:r>
      </w:hyperlink>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u w:val="single" w:color="auto"/>
            <w:color w:val="0000FF"/>
          </w:rPr>
          <w:t>Incentive Compensation Plan) (Exhibit 10.1 to A. H. Belo Corporation’s Current Report on Form 8-K filed with the Securities</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-1353820</wp:posOffset>
            </wp:positionV>
            <wp:extent cx="7132320" cy="3683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5">
                      <a:extLst>
                        <a:ext uri="{28A0092B-C50C-407E-A947-70E740481C1C}"/>
                      </a:extLst>
                    </a:blip>
                    <a:srcRect/>
                    <a:stretch>
                      <a:fillRect/>
                    </a:stretch>
                  </pic:blipFill>
                  <pic:spPr bwMode="auto">
                    <a:xfrm>
                      <a:off x="0" y="0"/>
                      <a:ext cx="7132320" cy="368300"/>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-882015</wp:posOffset>
            </wp:positionV>
            <wp:extent cx="58470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6">
                      <a:extLst>
                        <a:ext uri="{28A0092B-C50C-407E-A947-70E740481C1C}"/>
                      </a:extLst>
                    </a:blip>
                    <a:srcRect/>
                    <a:stretch>
                      <a:fillRect/>
                    </a:stretch>
                  </pic:blipFill>
                  <pic:spPr bwMode="auto">
                    <a:xfrm>
                      <a:off x="0" y="0"/>
                      <a:ext cx="5847080"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-762000</wp:posOffset>
            </wp:positionV>
            <wp:extent cx="7486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7">
                      <a:extLst>
                        <a:ext uri="{28A0092B-C50C-407E-A947-70E740481C1C}"/>
                      </a:extLst>
                    </a:blip>
                    <a:srcRect/>
                    <a:stretch>
                      <a:fillRect/>
                    </a:stretch>
                  </pic:blipFill>
                  <pic:spPr bwMode="auto">
                    <a:xfrm>
                      <a:off x="0" y="0"/>
                      <a:ext cx="7486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-736600</wp:posOffset>
            </wp:positionV>
            <wp:extent cx="7132320"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-504825</wp:posOffset>
            </wp:positionV>
            <wp:extent cx="584835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9">
                      <a:extLst>
                        <a:ext uri="{28A0092B-C50C-407E-A947-70E740481C1C}"/>
                      </a:extLst>
                    </a:blip>
                    <a:srcRect/>
                    <a:stretch>
                      <a:fillRect/>
                    </a:stretch>
                  </pic:blipFill>
                  <pic:spPr bwMode="auto">
                    <a:xfrm>
                      <a:off x="0" y="0"/>
                      <a:ext cx="5848350"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-384810</wp:posOffset>
            </wp:positionV>
            <wp:extent cx="58521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0">
                      <a:extLst>
                        <a:ext uri="{28A0092B-C50C-407E-A947-70E740481C1C}"/>
                      </a:extLst>
                    </a:blip>
                    <a:srcRect/>
                    <a:stretch>
                      <a:fillRect/>
                    </a:stretch>
                  </pic:blipFill>
                  <pic:spPr bwMode="auto">
                    <a:xfrm>
                      <a:off x="0" y="0"/>
                      <a:ext cx="5852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3860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1">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ind w:left="2000"/>
        <w:spacing w:after="0" w:line="221" w:lineRule="auto"/>
        <w:rPr>
          <w:rFonts w:ascii="Times New Roman" w:cs="Times New Roman" w:eastAsia="Times New Roman" w:hAnsi="Times New Roman"/>
          <w:sz w:val="18"/>
          <w:szCs w:val="18"/>
          <w:u w:val="single" w:color="auto"/>
          <w:color w:val="0000FF"/>
        </w:rPr>
      </w:pPr>
      <w:hyperlink r:id="rId94">
        <w:r>
          <w:rPr>
            <w:rFonts w:ascii="Times New Roman" w:cs="Times New Roman" w:eastAsia="Times New Roman" w:hAnsi="Times New Roman"/>
            <w:sz w:val="18"/>
            <w:szCs w:val="18"/>
            <w:u w:val="single" w:color="auto"/>
            <w:color w:val="0000FF"/>
          </w:rPr>
          <w:t>and Exchange Commission on May 18, 2021 (Securities and Exchange Commission File No. 001-33741))</w:t>
        </w:r>
      </w:hyperlink>
    </w:p>
    <w:p>
      <w:pPr>
        <w:jc w:val="right"/>
        <w:ind w:left="880" w:right="20"/>
        <w:spacing w:after="0" w:line="22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   * </w:t>
      </w:r>
      <w:hyperlink r:id="rId102">
        <w:r>
          <w:rPr>
            <w:rFonts w:ascii="Times New Roman" w:cs="Times New Roman" w:eastAsia="Times New Roman" w:hAnsi="Times New Roman"/>
            <w:sz w:val="18"/>
            <w:szCs w:val="18"/>
            <w:u w:val="single" w:color="auto"/>
            <w:color w:val="0000FF"/>
          </w:rPr>
          <w:t>Form of A. H. Belo Cash Long-Term Incentive Compensation Evidence of Grant (for Employee Awards) (Exhibit 10.1 to the</w:t>
        </w:r>
      </w:hyperlink>
      <w:r>
        <w:rPr>
          <w:rFonts w:ascii="Times New Roman" w:cs="Times New Roman" w:eastAsia="Times New Roman" w:hAnsi="Times New Roman"/>
          <w:sz w:val="18"/>
          <w:szCs w:val="18"/>
          <w:color w:val="auto"/>
        </w:rPr>
        <w:t xml:space="preserve"> </w:t>
      </w:r>
      <w:hyperlink r:id="rId102">
        <w:r>
          <w:rPr>
            <w:rFonts w:ascii="Times New Roman" w:cs="Times New Roman" w:eastAsia="Times New Roman" w:hAnsi="Times New Roman"/>
            <w:sz w:val="18"/>
            <w:szCs w:val="18"/>
            <w:u w:val="single" w:color="auto"/>
            <w:color w:val="0000FF"/>
          </w:rPr>
          <w:t>Company’s Annual Report on Form 10-K filed with the Securities and Exchange Commission on March 14, 2019 (Securities and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-136525</wp:posOffset>
            </wp:positionV>
            <wp:extent cx="61137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3">
                      <a:extLst>
                        <a:ext uri="{28A0092B-C50C-407E-A947-70E740481C1C}"/>
                      </a:extLst>
                    </a:blip>
                    <a:srcRect/>
                    <a:stretch>
                      <a:fillRect/>
                    </a:stretch>
                  </pic:blipFill>
                  <pic:spPr bwMode="auto">
                    <a:xfrm>
                      <a:off x="0" y="0"/>
                      <a:ext cx="6113780" cy="8890"/>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-16510</wp:posOffset>
            </wp:positionV>
            <wp:extent cx="61175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4">
                      <a:extLst>
                        <a:ext uri="{28A0092B-C50C-407E-A947-70E740481C1C}"/>
                      </a:extLst>
                    </a:blip>
                    <a:srcRect/>
                    <a:stretch>
                      <a:fillRect/>
                    </a:stretch>
                  </pic:blipFill>
                  <pic:spPr bwMode="auto">
                    <a:xfrm>
                      <a:off x="0" y="0"/>
                      <a:ext cx="6117590" cy="8255"/>
                    </a:xfrm>
                    <a:prstGeom prst="rect">
                      <a:avLst/>
                    </a:prstGeom>
                    <a:noFill/>
                  </pic:spPr>
                </pic:pic>
              </a:graphicData>
            </a:graphic>
          </wp:anchor>
        </w:drawing>
      </w:r>
    </w:p>
    <w:p>
      <w:pPr>
        <w:ind w:left="1580"/>
        <w:spacing w:after="0" w:line="221" w:lineRule="auto"/>
        <w:rPr>
          <w:rFonts w:ascii="Times New Roman" w:cs="Times New Roman" w:eastAsia="Times New Roman" w:hAnsi="Times New Roman"/>
          <w:sz w:val="18"/>
          <w:szCs w:val="18"/>
          <w:u w:val="single" w:color="auto"/>
          <w:color w:val="0000FF"/>
        </w:rPr>
      </w:pPr>
      <w:hyperlink r:id="rId102">
        <w:r>
          <w:rPr>
            <w:rFonts w:ascii="Times New Roman" w:cs="Times New Roman" w:eastAsia="Times New Roman" w:hAnsi="Times New Roman"/>
            <w:sz w:val="18"/>
            <w:szCs w:val="18"/>
            <w:u w:val="single" w:color="auto"/>
            <w:color w:val="0000FF"/>
          </w:rPr>
          <w:t>Exchange Commission File No. 001-33741))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-8890</wp:posOffset>
            </wp:positionV>
            <wp:extent cx="205930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5">
                      <a:extLst>
                        <a:ext uri="{28A0092B-C50C-407E-A947-70E740481C1C}"/>
                      </a:extLst>
                    </a:blip>
                    <a:srcRect/>
                    <a:stretch>
                      <a:fillRect/>
                    </a:stretch>
                  </pic:blipFill>
                  <pic:spPr bwMode="auto">
                    <a:xfrm>
                      <a:off x="0" y="0"/>
                      <a:ext cx="2059305" cy="8255"/>
                    </a:xfrm>
                    <a:prstGeom prst="rect">
                      <a:avLst/>
                    </a:prstGeom>
                    <a:noFill/>
                  </pic:spPr>
                </pic:pic>
              </a:graphicData>
            </a:graphic>
          </wp:anchor>
        </w:drawing>
      </w:r>
    </w:p>
    <w:p>
      <w:pPr>
        <w:jc w:val="right"/>
        <w:ind w:left="880" w:right="20"/>
        <w:spacing w:after="0" w:line="22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   * </w:t>
      </w:r>
      <w:hyperlink r:id="rId106">
        <w:r>
          <w:rPr>
            <w:rFonts w:ascii="Times New Roman" w:cs="Times New Roman" w:eastAsia="Times New Roman" w:hAnsi="Times New Roman"/>
            <w:sz w:val="18"/>
            <w:szCs w:val="18"/>
            <w:u w:val="single" w:color="auto"/>
            <w:color w:val="0000FF"/>
          </w:rPr>
          <w:t>Robert W. Decherd Compensation Agreement dated May 12, 2022 (Exhibit 10.1 to the Company’s Current Report on Form 8-K filed</w:t>
        </w:r>
      </w:hyperlink>
      <w:r>
        <w:rPr>
          <w:rFonts w:ascii="Times New Roman" w:cs="Times New Roman" w:eastAsia="Times New Roman" w:hAnsi="Times New Roman"/>
          <w:sz w:val="18"/>
          <w:szCs w:val="18"/>
          <w:color w:val="auto"/>
        </w:rPr>
        <w:t xml:space="preserve"> </w:t>
      </w:r>
      <w:hyperlink r:id="rId106">
        <w:r>
          <w:rPr>
            <w:rFonts w:ascii="Times New Roman" w:cs="Times New Roman" w:eastAsia="Times New Roman" w:hAnsi="Times New Roman"/>
            <w:sz w:val="18"/>
            <w:szCs w:val="18"/>
            <w:u w:val="single" w:color="auto"/>
            <w:color w:val="0000FF"/>
          </w:rPr>
          <w:t>with the Securities and Exchange Commission on May 12, 2022 (Securities and Exchange Commission File No. 001-33741) (the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3683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7">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ind w:left="1580"/>
        <w:spacing w:after="0" w:line="221" w:lineRule="auto"/>
        <w:rPr>
          <w:rFonts w:ascii="Times New Roman" w:cs="Times New Roman" w:eastAsia="Times New Roman" w:hAnsi="Times New Roman"/>
          <w:sz w:val="18"/>
          <w:szCs w:val="18"/>
          <w:u w:val="single" w:color="auto"/>
          <w:color w:val="0000FF"/>
        </w:rPr>
      </w:pPr>
      <w:hyperlink r:id="rId106">
        <w:r>
          <w:rPr>
            <w:rFonts w:ascii="Times New Roman" w:cs="Times New Roman" w:eastAsia="Times New Roman" w:hAnsi="Times New Roman"/>
            <w:sz w:val="18"/>
            <w:szCs w:val="18"/>
            <w:u w:val="single" w:color="auto"/>
            <w:color w:val="0000FF"/>
          </w:rPr>
          <w:t>“May 12, 2022 Form 8-K”))</w:t>
        </w:r>
      </w:hyperlink>
    </w:p>
    <w:p>
      <w:pPr>
        <w:ind w:left="880"/>
        <w:spacing w:after="0" w:line="234" w:lineRule="auto"/>
        <w:tabs>
          <w:tab w:leader="none" w:pos="138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tab/>
        <w:t xml:space="preserve">* </w:t>
      </w:r>
      <w:hyperlink r:id="rId108">
        <w:r>
          <w:rPr>
            <w:rFonts w:ascii="Times New Roman" w:cs="Times New Roman" w:eastAsia="Times New Roman" w:hAnsi="Times New Roman"/>
            <w:sz w:val="18"/>
            <w:szCs w:val="18"/>
            <w:u w:val="single" w:color="auto"/>
            <w:color w:val="0000FF"/>
          </w:rPr>
          <w:t>Grant S. Moise Compensation Agreement dated May 12, 2022 (Exhibit 10.2 to the May 12, 2022 Form 8-K)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-17145</wp:posOffset>
            </wp:positionV>
            <wp:extent cx="49663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9">
                      <a:extLst>
                        <a:ext uri="{28A0092B-C50C-407E-A947-70E740481C1C}"/>
                      </a:extLst>
                    </a:blip>
                    <a:srcRect/>
                    <a:stretch>
                      <a:fillRect/>
                    </a:stretch>
                  </pic:blipFill>
                  <pic:spPr bwMode="auto">
                    <a:xfrm>
                      <a:off x="0" y="0"/>
                      <a:ext cx="4966335" cy="8890"/>
                    </a:xfrm>
                    <a:prstGeom prst="rect">
                      <a:avLst/>
                    </a:prstGeom>
                    <a:noFill/>
                  </pic:spPr>
                </pic:pic>
              </a:graphicData>
            </a:graphic>
          </wp:anchor>
        </w:drawing>
      </w:r>
    </w:p>
    <w:p>
      <w:pPr>
        <w:ind w:left="880"/>
        <w:spacing w:after="0"/>
        <w:tabs>
          <w:tab w:leader="none" w:pos="138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tab/>
        <w:t xml:space="preserve">* </w:t>
      </w:r>
      <w:hyperlink r:id="rId110">
        <w:r>
          <w:rPr>
            <w:rFonts w:ascii="Times New Roman" w:cs="Times New Roman" w:eastAsia="Times New Roman" w:hAnsi="Times New Roman"/>
            <w:sz w:val="18"/>
            <w:szCs w:val="18"/>
            <w:u w:val="single" w:color="auto"/>
            <w:color w:val="0000FF"/>
          </w:rPr>
          <w:t>Katy Murray Compensation Agreement dated May 12, 2022 (Exhibit 10.3 to the May 12, 2022 Form 8-K)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45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tabs>
          <w:tab w:leader="none" w:pos="700" w:val="left"/>
        </w:tabs>
        <w:rPr>
          <w:sz w:val="20"/>
          <w:szCs w:val="20"/>
          <w:color w:val="auto"/>
        </w:rPr>
      </w:pPr>
      <w:r>
        <w:rPr>
          <w:rFonts w:ascii="Times New Roman" w:cs="Times New Roman" w:eastAsia="Times New Roman" w:hAnsi="Times New Roman"/>
          <w:sz w:val="18"/>
          <w:szCs w:val="18"/>
          <w:color w:val="auto"/>
        </w:rPr>
        <w:t>DallasNews Corporation 2022 Annual Report on Form 10-K</w:t>
      </w:r>
      <w:r>
        <w:rPr>
          <w:sz w:val="20"/>
          <w:szCs w:val="20"/>
          <w:color w:val="auto"/>
        </w:rPr>
        <w:tab/>
      </w:r>
      <w:r>
        <w:rPr>
          <w:rFonts w:ascii="Times New Roman" w:cs="Times New Roman" w:eastAsia="Times New Roman" w:hAnsi="Times New Roman"/>
          <w:sz w:val="17"/>
          <w:szCs w:val="17"/>
          <w:b w:val="1"/>
          <w:bCs w:val="1"/>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Number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95820" cy="2654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4">
                      <a:extLst>
                        <a:ext uri="{28A0092B-C50C-407E-A947-70E740481C1C}"/>
                      </a:extLst>
                    </a:blip>
                    <a:srcRect/>
                    <a:stretch>
                      <a:fillRect/>
                    </a:stretch>
                  </pic:blipFill>
                  <pic:spPr bwMode="auto">
                    <a:xfrm>
                      <a:off x="0" y="0"/>
                      <a:ext cx="7195820" cy="265430"/>
                    </a:xfrm>
                    <a:prstGeom prst="rect">
                      <a:avLst/>
                    </a:prstGeom>
                    <a:noFill/>
                  </pic:spPr>
                </pic:pic>
              </a:graphicData>
            </a:graphic>
          </wp:anchor>
        </w:drawing>
      </w:r>
    </w:p>
    <w:p>
      <w:pPr>
        <w:spacing w:after="0" w:line="185"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 Agreements relating to the separation of A. H. Belo from its former parent company:</w:t>
      </w:r>
    </w:p>
    <w:p>
      <w:pPr>
        <w:spacing w:after="0" w:line="16" w:lineRule="exact"/>
        <w:rPr>
          <w:sz w:val="20"/>
          <w:szCs w:val="20"/>
          <w:color w:val="auto"/>
        </w:rPr>
      </w:pPr>
    </w:p>
    <w:p>
      <w:pPr>
        <w:ind w:left="1660" w:hanging="721"/>
        <w:spacing w:after="0" w:line="224" w:lineRule="auto"/>
        <w:tabs>
          <w:tab w:leader="none" w:pos="1336" w:val="left"/>
        </w:tabs>
        <w:numPr>
          <w:ilvl w:val="0"/>
          <w:numId w:val="1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hyperlink r:id="rId115">
        <w:r>
          <w:rPr>
            <w:rFonts w:ascii="Times New Roman" w:cs="Times New Roman" w:eastAsia="Times New Roman" w:hAnsi="Times New Roman"/>
            <w:sz w:val="18"/>
            <w:szCs w:val="18"/>
            <w:u w:val="single" w:color="auto"/>
            <w:color w:val="0000FF"/>
          </w:rPr>
          <w:t>Pension Plan Transfer Agreement by and between Belo Corp. and A. H. Belo Corporation dated as of October 6, 2010 (Exhibit 10.1</w:t>
        </w:r>
      </w:hyperlink>
      <w:r>
        <w:rPr>
          <w:rFonts w:ascii="Times New Roman" w:cs="Times New Roman" w:eastAsia="Times New Roman" w:hAnsi="Times New Roman"/>
          <w:sz w:val="18"/>
          <w:szCs w:val="18"/>
          <w:color w:val="auto"/>
        </w:rPr>
        <w:t xml:space="preserve"> </w:t>
      </w:r>
      <w:hyperlink r:id="rId115">
        <w:r>
          <w:rPr>
            <w:rFonts w:ascii="Times New Roman" w:cs="Times New Roman" w:eastAsia="Times New Roman" w:hAnsi="Times New Roman"/>
            <w:sz w:val="18"/>
            <w:szCs w:val="18"/>
            <w:u w:val="single" w:color="auto"/>
            <w:color w:val="0000FF"/>
          </w:rPr>
          <w:t>to the Company’s current Report on Form 8-K filed with the Securities and Exchange Commission on October 8, 2010 (Securities</w:t>
        </w:r>
      </w:hyperlink>
      <w:r>
        <w:rPr>
          <w:rFonts w:ascii="Times New Roman" w:cs="Times New Roman" w:eastAsia="Times New Roman" w:hAnsi="Times New Roman"/>
          <w:sz w:val="18"/>
          <w:szCs w:val="18"/>
          <w:u w:val="single" w:color="auto"/>
          <w:color w:val="0000FF"/>
        </w:rPr>
        <w:t xml:space="preserve"> </w:t>
      </w:r>
      <w:hyperlink r:id="rId115">
        <w:r>
          <w:rPr>
            <w:rFonts w:ascii="Times New Roman" w:cs="Times New Roman" w:eastAsia="Times New Roman" w:hAnsi="Times New Roman"/>
            <w:sz w:val="18"/>
            <w:szCs w:val="18"/>
            <w:u w:val="single" w:color="auto"/>
            <w:color w:val="0000FF"/>
          </w:rPr>
          <w:t>and Exchange Commission File No. 001-33741))</w:t>
        </w:r>
      </w:hyperlink>
    </w:p>
    <w:p>
      <w:pPr>
        <w:jc w:val="right"/>
        <w:ind w:left="1660" w:hanging="721"/>
        <w:spacing w:after="0" w:line="210" w:lineRule="auto"/>
        <w:tabs>
          <w:tab w:leader="none" w:pos="1336" w:val="left"/>
        </w:tabs>
        <w:numPr>
          <w:ilvl w:val="0"/>
          <w:numId w:val="13"/>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   </w:t>
      </w:r>
      <w:hyperlink r:id="rId116">
        <w:r>
          <w:rPr>
            <w:rFonts w:ascii="Times New Roman" w:cs="Times New Roman" w:eastAsia="Times New Roman" w:hAnsi="Times New Roman"/>
            <w:sz w:val="18"/>
            <w:szCs w:val="18"/>
            <w:u w:val="single" w:color="auto"/>
            <w:color w:val="0000FF"/>
          </w:rPr>
          <w:t>Agreement  among  the  Company,  Belo  Corp.,  and  The  Pension  Benefit  Guaranty  Corporation,  effective  March  9,  2011</w:t>
        </w:r>
      </w:hyperlink>
      <w:r>
        <w:rPr>
          <w:rFonts w:ascii="Times New Roman" w:cs="Times New Roman" w:eastAsia="Times New Roman" w:hAnsi="Times New Roman"/>
          <w:sz w:val="18"/>
          <w:szCs w:val="18"/>
          <w:color w:val="auto"/>
        </w:rPr>
        <w:t xml:space="preserve"> </w:t>
      </w:r>
      <w:hyperlink r:id="rId116">
        <w:r>
          <w:rPr>
            <w:rFonts w:ascii="Times New Roman" w:cs="Times New Roman" w:eastAsia="Times New Roman" w:hAnsi="Times New Roman"/>
            <w:sz w:val="18"/>
            <w:szCs w:val="18"/>
            <w:color w:val="0000FF"/>
          </w:rPr>
          <w:t>(Exhibit 10.3(6) to the Company’s Annual Report on Form 10-K filed with the Securities and Exchange Commission on March 11,</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1059180</wp:posOffset>
            </wp:positionH>
            <wp:positionV relativeFrom="paragraph">
              <wp:posOffset>-487680</wp:posOffset>
            </wp:positionV>
            <wp:extent cx="61315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7">
                      <a:extLst>
                        <a:ext uri="{28A0092B-C50C-407E-A947-70E740481C1C}"/>
                      </a:extLst>
                    </a:blip>
                    <a:srcRect/>
                    <a:stretch>
                      <a:fillRect/>
                    </a:stretch>
                  </pic:blipFill>
                  <pic:spPr bwMode="auto">
                    <a:xfrm>
                      <a:off x="0" y="0"/>
                      <a:ext cx="6131560" cy="8255"/>
                    </a:xfrm>
                    <a:prstGeom prst="rect">
                      <a:avLst/>
                    </a:prstGeom>
                    <a:noFill/>
                  </pic:spPr>
                </pic:pic>
              </a:graphicData>
            </a:graphic>
          </wp:anchor>
        </w:drawing>
        <w:drawing>
          <wp:anchor simplePos="0" relativeHeight="251657728" behindDoc="1" locked="0" layoutInCell="0" allowOverlap="1">
            <wp:simplePos x="0" y="0"/>
            <wp:positionH relativeFrom="column">
              <wp:posOffset>1059180</wp:posOffset>
            </wp:positionH>
            <wp:positionV relativeFrom="paragraph">
              <wp:posOffset>-367665</wp:posOffset>
            </wp:positionV>
            <wp:extent cx="61347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8">
                      <a:extLst>
                        <a:ext uri="{28A0092B-C50C-407E-A947-70E740481C1C}"/>
                      </a:extLst>
                    </a:blip>
                    <a:srcRect/>
                    <a:stretch>
                      <a:fillRect/>
                    </a:stretch>
                  </pic:blipFill>
                  <pic:spPr bwMode="auto">
                    <a:xfrm>
                      <a:off x="0" y="0"/>
                      <a:ext cx="61347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195820" cy="3860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9">
                      <a:extLst>
                        <a:ext uri="{28A0092B-C50C-407E-A947-70E740481C1C}"/>
                      </a:extLst>
                    </a:blip>
                    <a:srcRect/>
                    <a:stretch>
                      <a:fillRect/>
                    </a:stretch>
                  </pic:blipFill>
                  <pic:spPr bwMode="auto">
                    <a:xfrm>
                      <a:off x="0" y="0"/>
                      <a:ext cx="7195820" cy="3860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3"/>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660" w:type="dxa"/>
            <w:vAlign w:val="bottom"/>
          </w:tcPr>
          <w:p>
            <w:pPr>
              <w:spacing w:after="0"/>
              <w:rPr>
                <w:sz w:val="15"/>
                <w:szCs w:val="15"/>
                <w:color w:val="auto"/>
              </w:rPr>
            </w:pPr>
          </w:p>
        </w:tc>
        <w:tc>
          <w:tcPr>
            <w:tcW w:w="9680" w:type="dxa"/>
            <w:vAlign w:val="bottom"/>
            <w:tcBorders>
              <w:top w:val="single" w:sz="8" w:color="0000EE"/>
            </w:tcBorders>
            <w:gridSpan w:val="8"/>
          </w:tcPr>
          <w:p>
            <w:pPr>
              <w:spacing w:after="0" w:line="182"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2011 (Securities and Exchange Commission File No. 001-33741))</w:t>
              </w:r>
            </w:hyperlink>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2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4740" w:type="dxa"/>
            <w:vAlign w:val="bottom"/>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Subsidiaries of the Company</w:t>
            </w:r>
          </w:p>
        </w:tc>
        <w:tc>
          <w:tcPr>
            <w:tcW w:w="264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0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23.1</w:t>
            </w:r>
          </w:p>
        </w:tc>
        <w:tc>
          <w:tcPr>
            <w:tcW w:w="660" w:type="dxa"/>
            <w:vAlign w:val="bottom"/>
            <w:tcBorders>
              <w:right w:val="single" w:sz="8" w:color="CCEEFF"/>
            </w:tcBorders>
            <w:shd w:val="clear" w:color="auto" w:fill="CCEEFF"/>
          </w:tcPr>
          <w:p>
            <w:pPr>
              <w:spacing w:after="0"/>
              <w:rPr>
                <w:sz w:val="14"/>
                <w:szCs w:val="14"/>
                <w:color w:val="auto"/>
              </w:rPr>
            </w:pPr>
          </w:p>
        </w:tc>
        <w:tc>
          <w:tcPr>
            <w:tcW w:w="9680" w:type="dxa"/>
            <w:vAlign w:val="bottom"/>
            <w:tcBorders>
              <w:right w:val="single" w:sz="8" w:color="CCEEFF"/>
            </w:tcBorders>
            <w:gridSpan w:val="8"/>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Consent of Grant Thornton LLP</w:t>
            </w:r>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02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24</w:t>
            </w:r>
          </w:p>
        </w:tc>
        <w:tc>
          <w:tcPr>
            <w:tcW w:w="660" w:type="dxa"/>
            <w:vAlign w:val="bottom"/>
          </w:tcPr>
          <w:p>
            <w:pPr>
              <w:spacing w:after="0"/>
              <w:rPr>
                <w:sz w:val="14"/>
                <w:szCs w:val="14"/>
                <w:color w:val="auto"/>
              </w:rPr>
            </w:pPr>
          </w:p>
        </w:tc>
        <w:tc>
          <w:tcPr>
            <w:tcW w:w="9680" w:type="dxa"/>
            <w:vAlign w:val="bottom"/>
            <w:gridSpan w:val="8"/>
          </w:tcPr>
          <w:p>
            <w:pPr>
              <w:spacing w:after="0" w:line="142" w:lineRule="exact"/>
              <w:rPr>
                <w:sz w:val="20"/>
                <w:szCs w:val="20"/>
                <w:color w:val="auto"/>
              </w:rPr>
            </w:pPr>
            <w:r>
              <w:rPr>
                <w:rFonts w:ascii="Times New Roman" w:cs="Times New Roman" w:eastAsia="Times New Roman" w:hAnsi="Times New Roman"/>
                <w:sz w:val="16"/>
                <w:szCs w:val="16"/>
                <w:color w:val="0000FF"/>
              </w:rPr>
              <w:t>Power of Attorney (set forth on the signature page(s) hereof)</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02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31.1</w:t>
            </w:r>
          </w:p>
        </w:tc>
        <w:tc>
          <w:tcPr>
            <w:tcW w:w="660" w:type="dxa"/>
            <w:vAlign w:val="bottom"/>
            <w:tcBorders>
              <w:bottom w:val="single" w:sz="8" w:color="CCEEFF"/>
              <w:right w:val="single" w:sz="8" w:color="CCEEFF"/>
            </w:tcBorders>
            <w:shd w:val="clear" w:color="auto" w:fill="CCEEFF"/>
          </w:tcPr>
          <w:p>
            <w:pPr>
              <w:spacing w:after="0"/>
              <w:rPr>
                <w:sz w:val="15"/>
                <w:szCs w:val="15"/>
                <w:color w:val="auto"/>
              </w:rPr>
            </w:pPr>
          </w:p>
        </w:tc>
        <w:tc>
          <w:tcPr>
            <w:tcW w:w="7420" w:type="dxa"/>
            <w:vAlign w:val="bottom"/>
            <w:tcBorders>
              <w:bottom w:val="single" w:sz="8" w:color="0000EE"/>
            </w:tcBorders>
            <w:gridSpan w:val="7"/>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Certification of Principal Executive Officer pursuant to Section 302 of the Sarbanes-Oxley Act of 2002</w:t>
            </w:r>
          </w:p>
        </w:tc>
        <w:tc>
          <w:tcPr>
            <w:tcW w:w="2260" w:type="dxa"/>
            <w:vAlign w:val="bottom"/>
            <w:tcBorders>
              <w:bottom w:val="single" w:sz="8" w:color="CCEEFF"/>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02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31.2</w:t>
            </w:r>
          </w:p>
        </w:tc>
        <w:tc>
          <w:tcPr>
            <w:tcW w:w="660" w:type="dxa"/>
            <w:vAlign w:val="bottom"/>
          </w:tcPr>
          <w:p>
            <w:pPr>
              <w:spacing w:after="0"/>
              <w:rPr>
                <w:sz w:val="12"/>
                <w:szCs w:val="12"/>
                <w:color w:val="auto"/>
              </w:rPr>
            </w:pPr>
          </w:p>
        </w:tc>
        <w:tc>
          <w:tcPr>
            <w:tcW w:w="9680" w:type="dxa"/>
            <w:vAlign w:val="bottom"/>
            <w:gridSpan w:val="8"/>
          </w:tcPr>
          <w:p>
            <w:pPr>
              <w:spacing w:after="0" w:line="142" w:lineRule="exact"/>
              <w:rPr>
                <w:sz w:val="20"/>
                <w:szCs w:val="20"/>
                <w:color w:val="auto"/>
              </w:rPr>
            </w:pPr>
            <w:r>
              <w:rPr>
                <w:rFonts w:ascii="Times New Roman" w:cs="Times New Roman" w:eastAsia="Times New Roman" w:hAnsi="Times New Roman"/>
                <w:sz w:val="16"/>
                <w:szCs w:val="16"/>
                <w:color w:val="0000FF"/>
              </w:rPr>
              <w:t>Certification of Principal Financial Officer pursuant to Section 302 of the Sarbanes-Oxley Act of 2002</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6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0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660" w:type="dxa"/>
            <w:vAlign w:val="bottom"/>
            <w:tcBorders>
              <w:right w:val="single" w:sz="8" w:color="CCEEFF"/>
            </w:tcBorders>
            <w:shd w:val="clear" w:color="auto" w:fill="CCEEFF"/>
          </w:tcPr>
          <w:p>
            <w:pPr>
              <w:spacing w:after="0"/>
              <w:rPr>
                <w:sz w:val="14"/>
                <w:szCs w:val="14"/>
                <w:color w:val="auto"/>
              </w:rPr>
            </w:pPr>
          </w:p>
        </w:tc>
        <w:tc>
          <w:tcPr>
            <w:tcW w:w="9680" w:type="dxa"/>
            <w:vAlign w:val="bottom"/>
            <w:tcBorders>
              <w:right w:val="single" w:sz="8" w:color="CCEEFF"/>
            </w:tcBorders>
            <w:gridSpan w:val="8"/>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Certifications of Principal Executive Officer and Principal Financial Officer pursuant to 18 U.S.C. Section 1350, as adopted pursuant</w:t>
            </w:r>
          </w:p>
        </w:tc>
        <w:tc>
          <w:tcPr>
            <w:tcW w:w="0" w:type="dxa"/>
            <w:vAlign w:val="bottom"/>
          </w:tcPr>
          <w:p>
            <w:pPr>
              <w:spacing w:after="0"/>
              <w:rPr>
                <w:sz w:val="1"/>
                <w:szCs w:val="1"/>
                <w:color w:val="auto"/>
              </w:rPr>
            </w:pPr>
          </w:p>
        </w:tc>
      </w:tr>
      <w:tr>
        <w:trPr>
          <w:trHeight w:val="20"/>
        </w:trPr>
        <w:tc>
          <w:tcPr>
            <w:tcW w:w="1020" w:type="dxa"/>
            <w:vAlign w:val="bottom"/>
            <w:vMerge w:val="continue"/>
            <w:shd w:val="clear" w:color="auto" w:fill="CCEEFF"/>
          </w:tcPr>
          <w:p>
            <w:pPr>
              <w:spacing w:after="0" w:line="20" w:lineRule="exact"/>
              <w:rPr>
                <w:sz w:val="1"/>
                <w:szCs w:val="1"/>
                <w:color w:val="auto"/>
              </w:rPr>
            </w:pPr>
          </w:p>
        </w:tc>
        <w:tc>
          <w:tcPr>
            <w:tcW w:w="660" w:type="dxa"/>
            <w:vAlign w:val="bottom"/>
            <w:tcBorders>
              <w:right w:val="single" w:sz="8" w:color="0000EE"/>
            </w:tcBorders>
            <w:shd w:val="clear" w:color="auto" w:fill="CCEEFF"/>
          </w:tcPr>
          <w:p>
            <w:pPr>
              <w:spacing w:after="0" w:line="20" w:lineRule="exact"/>
              <w:rPr>
                <w:sz w:val="1"/>
                <w:szCs w:val="1"/>
                <w:color w:val="auto"/>
              </w:rPr>
            </w:pPr>
          </w:p>
        </w:tc>
        <w:tc>
          <w:tcPr>
            <w:tcW w:w="3580" w:type="dxa"/>
            <w:vAlign w:val="bottom"/>
            <w:gridSpan w:val="3"/>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320" w:type="dxa"/>
            <w:vAlign w:val="bottom"/>
            <w:tcBorders>
              <w:right w:val="single" w:sz="8" w:color="CCEEFF"/>
            </w:tcBorders>
            <w:gridSpan w:val="4"/>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vMerge w:val="continue"/>
            <w:shd w:val="clear" w:color="auto" w:fill="CCEEFF"/>
          </w:tcPr>
          <w:p>
            <w:pPr>
              <w:spacing w:after="0"/>
              <w:rPr>
                <w:sz w:val="14"/>
                <w:szCs w:val="14"/>
                <w:color w:val="auto"/>
              </w:rPr>
            </w:pPr>
          </w:p>
        </w:tc>
        <w:tc>
          <w:tcPr>
            <w:tcW w:w="660" w:type="dxa"/>
            <w:vAlign w:val="bottom"/>
            <w:tcBorders>
              <w:right w:val="single" w:sz="8" w:color="CCEEFF"/>
            </w:tcBorders>
            <w:shd w:val="clear" w:color="auto" w:fill="CCEEFF"/>
          </w:tcPr>
          <w:p>
            <w:pPr>
              <w:spacing w:after="0"/>
              <w:rPr>
                <w:sz w:val="14"/>
                <w:szCs w:val="14"/>
                <w:color w:val="auto"/>
              </w:rPr>
            </w:pPr>
          </w:p>
        </w:tc>
        <w:tc>
          <w:tcPr>
            <w:tcW w:w="9680" w:type="dxa"/>
            <w:vAlign w:val="bottom"/>
            <w:tcBorders>
              <w:right w:val="single" w:sz="8" w:color="CCEEFF"/>
            </w:tcBorders>
            <w:gridSpan w:val="8"/>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to Section 906 of the Sarbanes-Oxley Act of 2002</w:t>
            </w:r>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020" w:type="dxa"/>
            <w:vAlign w:val="bottom"/>
          </w:tcPr>
          <w:p>
            <w:pPr>
              <w:spacing w:after="0"/>
              <w:rPr>
                <w:sz w:val="14"/>
                <w:szCs w:val="14"/>
                <w:color w:val="auto"/>
              </w:rPr>
            </w:pPr>
          </w:p>
        </w:tc>
        <w:tc>
          <w:tcPr>
            <w:tcW w:w="10340" w:type="dxa"/>
            <w:vAlign w:val="bottom"/>
            <w:gridSpan w:val="9"/>
          </w:tcPr>
          <w:p>
            <w:pPr>
              <w:ind w:left="320"/>
              <w:spacing w:after="0" w:line="162" w:lineRule="exact"/>
              <w:rPr>
                <w:sz w:val="20"/>
                <w:szCs w:val="20"/>
                <w:color w:val="auto"/>
              </w:rPr>
            </w:pPr>
            <w:r>
              <w:rPr>
                <w:rFonts w:ascii="Times New Roman" w:cs="Times New Roman" w:eastAsia="Times New Roman" w:hAnsi="Times New Roman"/>
                <w:sz w:val="18"/>
                <w:szCs w:val="18"/>
                <w:color w:val="auto"/>
              </w:rPr>
              <w:t>**  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16"/>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660" w:type="dxa"/>
            <w:vAlign w:val="bottom"/>
          </w:tcPr>
          <w:p>
            <w:pPr>
              <w:spacing w:after="0"/>
              <w:rPr>
                <w:sz w:val="18"/>
                <w:szCs w:val="18"/>
                <w:color w:val="auto"/>
              </w:rPr>
            </w:pPr>
          </w:p>
        </w:tc>
        <w:tc>
          <w:tcPr>
            <w:tcW w:w="96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101.SCH</w:t>
            </w:r>
          </w:p>
        </w:tc>
        <w:tc>
          <w:tcPr>
            <w:tcW w:w="660" w:type="dxa"/>
            <w:vAlign w:val="bottom"/>
            <w:tcBorders>
              <w:right w:val="single" w:sz="8" w:color="CCEEFF"/>
            </w:tcBorders>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360" w:type="dxa"/>
            <w:vAlign w:val="bottom"/>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Inline XBRL Taxonomy Extension Schema Document</w:t>
            </w:r>
          </w:p>
        </w:tc>
        <w:tc>
          <w:tcPr>
            <w:tcW w:w="5320" w:type="dxa"/>
            <w:vAlign w:val="bottom"/>
            <w:tcBorders>
              <w:right w:val="single" w:sz="8" w:color="CCEEFF"/>
            </w:tcBorders>
            <w:gridSpan w:val="4"/>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101.CAL</w:t>
            </w:r>
          </w:p>
        </w:tc>
        <w:tc>
          <w:tcPr>
            <w:tcW w:w="10340" w:type="dxa"/>
            <w:vAlign w:val="bottom"/>
            <w:gridSpan w:val="9"/>
          </w:tcPr>
          <w:p>
            <w:pPr>
              <w:ind w:left="320"/>
              <w:spacing w:after="0" w:line="202" w:lineRule="exact"/>
              <w:rPr>
                <w:sz w:val="20"/>
                <w:szCs w:val="20"/>
                <w:color w:val="auto"/>
              </w:rPr>
            </w:pPr>
            <w:r>
              <w:rPr>
                <w:rFonts w:ascii="Times New Roman" w:cs="Times New Roman" w:eastAsia="Times New Roman" w:hAnsi="Times New Roman"/>
                <w:sz w:val="18"/>
                <w:szCs w:val="18"/>
                <w:color w:val="auto"/>
              </w:rPr>
              <w:t>**  Inline XBRL Taxonomy Extension Calculation Linkbase Document</w:t>
            </w:r>
          </w:p>
        </w:tc>
        <w:tc>
          <w:tcPr>
            <w:tcW w:w="0" w:type="dxa"/>
            <w:vAlign w:val="bottom"/>
          </w:tcPr>
          <w:p>
            <w:pPr>
              <w:spacing w:after="0"/>
              <w:rPr>
                <w:sz w:val="1"/>
                <w:szCs w:val="1"/>
                <w:color w:val="auto"/>
              </w:rPr>
            </w:pPr>
          </w:p>
        </w:tc>
      </w:tr>
      <w:tr>
        <w:trPr>
          <w:trHeight w:val="203"/>
        </w:trPr>
        <w:tc>
          <w:tcPr>
            <w:tcW w:w="10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101.DEF</w:t>
            </w:r>
          </w:p>
        </w:tc>
        <w:tc>
          <w:tcPr>
            <w:tcW w:w="10340" w:type="dxa"/>
            <w:vAlign w:val="bottom"/>
            <w:tcBorders>
              <w:right w:val="single" w:sz="8" w:color="CCEEFF"/>
            </w:tcBorders>
            <w:gridSpan w:val="9"/>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  Inline XBRL Taxonomy Extension Definition Linkbase Document</w:t>
            </w:r>
          </w:p>
        </w:tc>
        <w:tc>
          <w:tcPr>
            <w:tcW w:w="0" w:type="dxa"/>
            <w:vAlign w:val="bottom"/>
          </w:tcPr>
          <w:p>
            <w:pPr>
              <w:spacing w:after="0"/>
              <w:rPr>
                <w:sz w:val="1"/>
                <w:szCs w:val="1"/>
                <w:color w:val="auto"/>
              </w:rPr>
            </w:pPr>
          </w:p>
        </w:tc>
      </w:tr>
      <w:tr>
        <w:trPr>
          <w:trHeight w:val="203"/>
        </w:trPr>
        <w:tc>
          <w:tcPr>
            <w:tcW w:w="10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101.LAB</w:t>
            </w:r>
          </w:p>
        </w:tc>
        <w:tc>
          <w:tcPr>
            <w:tcW w:w="10340" w:type="dxa"/>
            <w:vAlign w:val="bottom"/>
            <w:gridSpan w:val="9"/>
          </w:tcPr>
          <w:p>
            <w:pPr>
              <w:ind w:left="320"/>
              <w:spacing w:after="0" w:line="202" w:lineRule="exact"/>
              <w:rPr>
                <w:sz w:val="20"/>
                <w:szCs w:val="20"/>
                <w:color w:val="auto"/>
              </w:rPr>
            </w:pPr>
            <w:r>
              <w:rPr>
                <w:rFonts w:ascii="Times New Roman" w:cs="Times New Roman" w:eastAsia="Times New Roman" w:hAnsi="Times New Roman"/>
                <w:sz w:val="18"/>
                <w:szCs w:val="18"/>
                <w:color w:val="auto"/>
              </w:rPr>
              <w:t>**  Inline XBRL Taxonomy Extension Label Linkbase Document</w:t>
            </w:r>
          </w:p>
        </w:tc>
        <w:tc>
          <w:tcPr>
            <w:tcW w:w="0" w:type="dxa"/>
            <w:vAlign w:val="bottom"/>
          </w:tcPr>
          <w:p>
            <w:pPr>
              <w:spacing w:after="0"/>
              <w:rPr>
                <w:sz w:val="1"/>
                <w:szCs w:val="1"/>
                <w:color w:val="auto"/>
              </w:rPr>
            </w:pPr>
          </w:p>
        </w:tc>
      </w:tr>
      <w:tr>
        <w:trPr>
          <w:trHeight w:val="203"/>
        </w:trPr>
        <w:tc>
          <w:tcPr>
            <w:tcW w:w="10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101.PRE</w:t>
            </w:r>
          </w:p>
        </w:tc>
        <w:tc>
          <w:tcPr>
            <w:tcW w:w="10340" w:type="dxa"/>
            <w:vAlign w:val="bottom"/>
            <w:tcBorders>
              <w:right w:val="single" w:sz="8" w:color="CCEEFF"/>
            </w:tcBorders>
            <w:gridSpan w:val="9"/>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  Inline XBRL Taxonomy Extension Presentation Linkbase Document</w:t>
            </w:r>
          </w:p>
        </w:tc>
        <w:tc>
          <w:tcPr>
            <w:tcW w:w="0" w:type="dxa"/>
            <w:vAlign w:val="bottom"/>
          </w:tcPr>
          <w:p>
            <w:pPr>
              <w:spacing w:after="0"/>
              <w:rPr>
                <w:sz w:val="1"/>
                <w:szCs w:val="1"/>
                <w:color w:val="auto"/>
              </w:rPr>
            </w:pPr>
          </w:p>
        </w:tc>
      </w:tr>
      <w:tr>
        <w:trPr>
          <w:trHeight w:val="23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340" w:type="dxa"/>
            <w:vAlign w:val="bottom"/>
            <w:gridSpan w:val="9"/>
          </w:tcPr>
          <w:p>
            <w:pPr>
              <w:ind w:left="320"/>
              <w:spacing w:after="0"/>
              <w:rPr>
                <w:sz w:val="20"/>
                <w:szCs w:val="20"/>
                <w:color w:val="auto"/>
              </w:rPr>
            </w:pPr>
            <w:r>
              <w:rPr>
                <w:rFonts w:ascii="Times New Roman" w:cs="Times New Roman" w:eastAsia="Times New Roman" w:hAnsi="Times New Roman"/>
                <w:sz w:val="18"/>
                <w:szCs w:val="18"/>
                <w:color w:val="auto"/>
              </w:rPr>
              <w:t>**  Cover Page Interactive Data File (formatted as Inline XBRL and contained in Exhibit 101)</w:t>
            </w:r>
          </w:p>
        </w:tc>
        <w:tc>
          <w:tcPr>
            <w:tcW w:w="0" w:type="dxa"/>
            <w:vAlign w:val="bottom"/>
          </w:tcPr>
          <w:p>
            <w:pPr>
              <w:spacing w:after="0"/>
              <w:rPr>
                <w:sz w:val="1"/>
                <w:szCs w:val="1"/>
                <w:color w:val="auto"/>
              </w:rPr>
            </w:pPr>
          </w:p>
        </w:tc>
      </w:tr>
    </w:tbl>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7" w:lineRule="exact"/>
        <w:rPr>
          <w:rFonts w:ascii="Times New Roman" w:cs="Times New Roman" w:eastAsia="Times New Roman" w:hAnsi="Times New Roman"/>
          <w:sz w:val="18"/>
          <w:szCs w:val="18"/>
          <w:color w:val="auto"/>
        </w:rPr>
      </w:pPr>
    </w:p>
    <w:p>
      <w:pPr>
        <w:ind w:left="5860"/>
        <w:spacing w:after="0"/>
        <w:tabs>
          <w:tab w:leader="none" w:pos="10500" w:val="left"/>
        </w:tabs>
        <w:rPr>
          <w:sz w:val="20"/>
          <w:szCs w:val="20"/>
          <w:color w:val="auto"/>
        </w:rPr>
      </w:pPr>
      <w:r>
        <w:rPr>
          <w:rFonts w:ascii="Times New Roman" w:cs="Times New Roman" w:eastAsia="Times New Roman" w:hAnsi="Times New Roman"/>
          <w:sz w:val="18"/>
          <w:szCs w:val="18"/>
          <w:color w:val="auto"/>
        </w:rPr>
        <w:t>DallasNews Corporation 2022 Annual Report on Form 10-K</w:t>
      </w:r>
      <w:r>
        <w:rPr>
          <w:sz w:val="20"/>
          <w:szCs w:val="20"/>
          <w:color w:val="auto"/>
        </w:rPr>
        <w:tab/>
      </w:r>
      <w:r>
        <w:rPr>
          <w:rFonts w:ascii="Times New Roman" w:cs="Times New Roman" w:eastAsia="Times New Roman" w:hAnsi="Times New Roman"/>
          <w:sz w:val="17"/>
          <w:szCs w:val="17"/>
          <w:b w:val="1"/>
          <w:bCs w:val="1"/>
          <w:color w:val="auto"/>
        </w:rPr>
        <w:t>PAGE 23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221615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08"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200" w:lineRule="exact"/>
        <w:rPr>
          <w:sz w:val="20"/>
          <w:szCs w:val="20"/>
          <w:color w:val="auto"/>
        </w:rPr>
      </w:pPr>
    </w:p>
    <w:p>
      <w:pPr>
        <w:spacing w:after="0" w:line="34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DALLASNEWS CORPORATION</w:t>
      </w:r>
    </w:p>
    <w:p>
      <w:pPr>
        <w:spacing w:after="0" w:line="171" w:lineRule="exact"/>
        <w:rPr>
          <w:sz w:val="20"/>
          <w:szCs w:val="20"/>
          <w:color w:val="auto"/>
        </w:rPr>
      </w:pPr>
    </w:p>
    <w:p>
      <w:pPr>
        <w:ind w:left="5980"/>
        <w:spacing w:after="0"/>
        <w:tabs>
          <w:tab w:leader="none" w:pos="6640" w:val="left"/>
          <w:tab w:leader="none" w:pos="6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Grant S. Moise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8890</wp:posOffset>
            </wp:positionV>
            <wp:extent cx="292290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2">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ind w:left="6980"/>
        <w:spacing w:after="0" w:line="237" w:lineRule="auto"/>
        <w:rPr>
          <w:sz w:val="20"/>
          <w:szCs w:val="20"/>
          <w:color w:val="auto"/>
        </w:rPr>
      </w:pPr>
      <w:r>
        <w:rPr>
          <w:rFonts w:ascii="Times New Roman" w:cs="Times New Roman" w:eastAsia="Times New Roman" w:hAnsi="Times New Roman"/>
          <w:sz w:val="18"/>
          <w:szCs w:val="18"/>
          <w:color w:val="auto"/>
        </w:rPr>
        <w:t>Grant S. Moise</w:t>
      </w:r>
    </w:p>
    <w:p>
      <w:pPr>
        <w:ind w:left="6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40"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Dated:</w:t>
        <w:tab/>
        <w:t>March 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tabs>
          <w:tab w:leader="none" w:pos="700" w:val="left"/>
        </w:tabs>
        <w:rPr>
          <w:sz w:val="20"/>
          <w:szCs w:val="20"/>
          <w:color w:val="auto"/>
        </w:rPr>
      </w:pPr>
      <w:r>
        <w:rPr>
          <w:rFonts w:ascii="Times New Roman" w:cs="Times New Roman" w:eastAsia="Times New Roman" w:hAnsi="Times New Roman"/>
          <w:sz w:val="18"/>
          <w:szCs w:val="18"/>
          <w:color w:val="auto"/>
        </w:rPr>
        <w:t>DallasNews Corporation 2022 Annual Report on Form 10-K</w:t>
      </w:r>
      <w:r>
        <w:rPr>
          <w:sz w:val="20"/>
          <w:szCs w:val="20"/>
          <w:color w:val="auto"/>
        </w:rPr>
        <w:tab/>
      </w:r>
      <w:r>
        <w:rPr>
          <w:rFonts w:ascii="Times New Roman" w:cs="Times New Roman" w:eastAsia="Times New Roman" w:hAnsi="Times New Roman"/>
          <w:sz w:val="17"/>
          <w:szCs w:val="17"/>
          <w:b w:val="1"/>
          <w:bCs w:val="1"/>
          <w:color w:val="auto"/>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3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undersigned hereby constitute and appoint Grant S. Moise and Katy Murray, and each of them and their substitutes, our true and lawful attorneys-in-fact with full power to execute in our name and behalf in the capacities indicated below any and all amendments to this report and to file the same, with all exhibits thereto and other documents in connection therewith, with the Securities and Exchange Commission, and hereby ratify and confirm all that such attorneys-in-fact, or any of them, or their substitutes shall lawfully do or cause to be done by virtue thereof.</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Company and in the capacities and on the dates indicated: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2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660" w:type="dxa"/>
            <w:vAlign w:val="bottom"/>
          </w:tcPr>
          <w:p>
            <w:pPr>
              <w:ind w:left="14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Grant S. Moise</w:t>
            </w:r>
          </w:p>
        </w:tc>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c>
          <w:tcPr>
            <w:tcW w:w="3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March 9, 2023</w:t>
            </w:r>
          </w:p>
        </w:tc>
        <w:tc>
          <w:tcPr>
            <w:tcW w:w="0" w:type="dxa"/>
            <w:vAlign w:val="bottom"/>
          </w:tcPr>
          <w:p>
            <w:pPr>
              <w:spacing w:after="0"/>
              <w:rPr>
                <w:sz w:val="1"/>
                <w:szCs w:val="1"/>
                <w:color w:val="auto"/>
              </w:rPr>
            </w:pPr>
          </w:p>
        </w:tc>
      </w:tr>
      <w:tr>
        <w:trPr>
          <w:trHeight w:val="22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S. Moise</w:t>
            </w:r>
          </w:p>
        </w:tc>
        <w:tc>
          <w:tcPr>
            <w:tcW w:w="42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W. Decherd</w:t>
            </w:r>
          </w:p>
        </w:tc>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Chairman of the Board</w:t>
            </w:r>
          </w:p>
        </w:tc>
        <w:tc>
          <w:tcPr>
            <w:tcW w:w="3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March 9, 2023</w:t>
            </w:r>
          </w:p>
        </w:tc>
        <w:tc>
          <w:tcPr>
            <w:tcW w:w="0" w:type="dxa"/>
            <w:vAlign w:val="bottom"/>
          </w:tcPr>
          <w:p>
            <w:pPr>
              <w:spacing w:after="0"/>
              <w:rPr>
                <w:sz w:val="1"/>
                <w:szCs w:val="1"/>
                <w:color w:val="auto"/>
              </w:rPr>
            </w:pPr>
          </w:p>
        </w:tc>
      </w:tr>
      <w:tr>
        <w:trPr>
          <w:trHeight w:val="22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W. Decherd</w:t>
            </w:r>
          </w:p>
        </w:tc>
        <w:tc>
          <w:tcPr>
            <w:tcW w:w="42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A. Beckert</w:t>
            </w:r>
          </w:p>
        </w:tc>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March 9, 2023</w:t>
            </w:r>
          </w:p>
        </w:tc>
        <w:tc>
          <w:tcPr>
            <w:tcW w:w="0" w:type="dxa"/>
            <w:vAlign w:val="bottom"/>
          </w:tcPr>
          <w:p>
            <w:pPr>
              <w:spacing w:after="0"/>
              <w:rPr>
                <w:sz w:val="1"/>
                <w:szCs w:val="1"/>
                <w:color w:val="auto"/>
              </w:rPr>
            </w:pPr>
          </w:p>
        </w:tc>
      </w:tr>
      <w:tr>
        <w:trPr>
          <w:trHeight w:val="22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A. Beckert</w:t>
            </w:r>
          </w:p>
        </w:tc>
        <w:tc>
          <w:tcPr>
            <w:tcW w:w="42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Louis E. Caldera</w:t>
            </w:r>
          </w:p>
        </w:tc>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March 9, 2023</w:t>
            </w:r>
          </w:p>
        </w:tc>
        <w:tc>
          <w:tcPr>
            <w:tcW w:w="0" w:type="dxa"/>
            <w:vAlign w:val="bottom"/>
          </w:tcPr>
          <w:p>
            <w:pPr>
              <w:spacing w:after="0"/>
              <w:rPr>
                <w:sz w:val="1"/>
                <w:szCs w:val="1"/>
                <w:color w:val="auto"/>
              </w:rPr>
            </w:pPr>
          </w:p>
        </w:tc>
      </w:tr>
      <w:tr>
        <w:trPr>
          <w:trHeight w:val="22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Louis E. Caldera</w:t>
            </w:r>
          </w:p>
        </w:tc>
        <w:tc>
          <w:tcPr>
            <w:tcW w:w="42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Ronald D. McCray</w:t>
            </w:r>
          </w:p>
        </w:tc>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March 9, 2023</w:t>
            </w:r>
          </w:p>
        </w:tc>
        <w:tc>
          <w:tcPr>
            <w:tcW w:w="0" w:type="dxa"/>
            <w:vAlign w:val="bottom"/>
          </w:tcPr>
          <w:p>
            <w:pPr>
              <w:spacing w:after="0"/>
              <w:rPr>
                <w:sz w:val="1"/>
                <w:szCs w:val="1"/>
                <w:color w:val="auto"/>
              </w:rPr>
            </w:pPr>
          </w:p>
        </w:tc>
      </w:tr>
      <w:tr>
        <w:trPr>
          <w:trHeight w:val="22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Ronald D. McCray</w:t>
            </w:r>
          </w:p>
        </w:tc>
        <w:tc>
          <w:tcPr>
            <w:tcW w:w="42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Dunia A. Shive</w:t>
            </w:r>
          </w:p>
        </w:tc>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March 9, 2023</w:t>
            </w:r>
          </w:p>
        </w:tc>
        <w:tc>
          <w:tcPr>
            <w:tcW w:w="0" w:type="dxa"/>
            <w:vAlign w:val="bottom"/>
          </w:tcPr>
          <w:p>
            <w:pPr>
              <w:spacing w:after="0"/>
              <w:rPr>
                <w:sz w:val="1"/>
                <w:szCs w:val="1"/>
                <w:color w:val="auto"/>
              </w:rPr>
            </w:pPr>
          </w:p>
        </w:tc>
      </w:tr>
      <w:tr>
        <w:trPr>
          <w:trHeight w:val="22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Dunia A. Shive</w:t>
            </w:r>
          </w:p>
        </w:tc>
        <w:tc>
          <w:tcPr>
            <w:tcW w:w="42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Katy Murray</w:t>
            </w:r>
          </w:p>
        </w:tc>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President and Chief Financial Officer</w:t>
            </w:r>
          </w:p>
        </w:tc>
        <w:tc>
          <w:tcPr>
            <w:tcW w:w="3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March 9, 2023</w:t>
            </w:r>
          </w:p>
        </w:tc>
        <w:tc>
          <w:tcPr>
            <w:tcW w:w="0" w:type="dxa"/>
            <w:vAlign w:val="bottom"/>
          </w:tcPr>
          <w:p>
            <w:pPr>
              <w:spacing w:after="0"/>
              <w:rPr>
                <w:sz w:val="1"/>
                <w:szCs w:val="1"/>
                <w:color w:val="auto"/>
              </w:rPr>
            </w:pPr>
          </w:p>
        </w:tc>
      </w:tr>
      <w:tr>
        <w:trPr>
          <w:trHeight w:val="32"/>
        </w:trPr>
        <w:tc>
          <w:tcPr>
            <w:tcW w:w="3500" w:type="dxa"/>
            <w:vAlign w:val="bottom"/>
            <w:tcBorders>
              <w:bottom w:val="single" w:sz="8" w:color="auto"/>
            </w:tcBorders>
          </w:tcPr>
          <w:p>
            <w:pPr>
              <w:spacing w:after="0"/>
              <w:rPr>
                <w:sz w:val="2"/>
                <w:szCs w:val="2"/>
                <w:color w:val="auto"/>
              </w:rPr>
            </w:pPr>
          </w:p>
        </w:tc>
        <w:tc>
          <w:tcPr>
            <w:tcW w:w="42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6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Katy Murray</w:t>
            </w:r>
          </w:p>
        </w:tc>
        <w:tc>
          <w:tcPr>
            <w:tcW w:w="4220" w:type="dxa"/>
            <w:vAlign w:val="bottom"/>
            <w:vMerge w:val="continue"/>
          </w:tcPr>
          <w:p>
            <w:pPr>
              <w:spacing w:after="0"/>
              <w:rPr>
                <w:sz w:val="19"/>
                <w:szCs w:val="19"/>
                <w:color w:val="auto"/>
              </w:rPr>
            </w:pPr>
          </w:p>
        </w:tc>
        <w:tc>
          <w:tcPr>
            <w:tcW w:w="2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3"/>
        </w:trPr>
        <w:tc>
          <w:tcPr>
            <w:tcW w:w="3500" w:type="dxa"/>
            <w:vAlign w:val="bottom"/>
          </w:tcPr>
          <w:p>
            <w:pPr>
              <w:spacing w:after="0"/>
              <w:rPr>
                <w:sz w:val="24"/>
                <w:szCs w:val="24"/>
                <w:color w:val="auto"/>
              </w:rPr>
            </w:pPr>
          </w:p>
        </w:tc>
        <w:tc>
          <w:tcPr>
            <w:tcW w:w="688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rPr>
              <w:t>DallasNews Corporation 2022 Annual Report on Form 10-K</w:t>
            </w:r>
          </w:p>
        </w:tc>
        <w:tc>
          <w:tcPr>
            <w:tcW w:w="8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w w:val="96"/>
              </w:rPr>
              <w:t>PAGE 25</w:t>
            </w:r>
          </w:p>
        </w:tc>
        <w:tc>
          <w:tcPr>
            <w:tcW w:w="0" w:type="dxa"/>
            <w:vAlign w:val="bottom"/>
          </w:tcPr>
          <w:p>
            <w:pPr>
              <w:spacing w:after="0"/>
              <w:rPr>
                <w:sz w:val="1"/>
                <w:szCs w:val="1"/>
                <w:color w:val="auto"/>
              </w:rPr>
            </w:pPr>
          </w:p>
        </w:tc>
      </w:tr>
      <w:tr>
        <w:trPr>
          <w:trHeight w:val="331"/>
        </w:trPr>
        <w:tc>
          <w:tcPr>
            <w:tcW w:w="350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DallasNews Corporation</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ind w:right="260"/>
        <w:spacing w:after="0" w:line="23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DallasNews Corporation (formerly known as A. H. Belo Corporation) (a Texas corporation) and subsidiaries (the “Company”) as of December 31, 2022 and 2021, the related consolidated statements of operations, comprehensive income (loss), shareholders’ equity, and cash flows for each of the two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ind w:right="280"/>
        <w:spacing w:after="0" w:line="234"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1"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31" w:lineRule="exact"/>
        <w:rPr>
          <w:sz w:val="20"/>
          <w:szCs w:val="20"/>
          <w:color w:val="auto"/>
        </w:rPr>
      </w:pPr>
    </w:p>
    <w:p>
      <w:pPr>
        <w:ind w:right="280"/>
        <w:spacing w:after="0"/>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consolidated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9, 2023</w:t>
      </w:r>
    </w:p>
    <w:p>
      <w:pPr>
        <w:spacing w:after="0" w:line="200" w:lineRule="exact"/>
        <w:rPr>
          <w:sz w:val="20"/>
          <w:szCs w:val="20"/>
          <w:color w:val="auto"/>
        </w:rPr>
      </w:pPr>
    </w:p>
    <w:p>
      <w:pPr>
        <w:spacing w:after="0" w:line="285" w:lineRule="exact"/>
        <w:rPr>
          <w:sz w:val="20"/>
          <w:szCs w:val="20"/>
          <w:color w:val="auto"/>
        </w:rPr>
      </w:pPr>
    </w:p>
    <w:p>
      <w:pPr>
        <w:jc w:val="right"/>
        <w:spacing w:after="0"/>
        <w:tabs>
          <w:tab w:leader="none" w:pos="700" w:val="left"/>
        </w:tabs>
        <w:rPr>
          <w:sz w:val="20"/>
          <w:szCs w:val="20"/>
          <w:color w:val="auto"/>
        </w:rPr>
      </w:pPr>
      <w:r>
        <w:rPr>
          <w:rFonts w:ascii="Times New Roman" w:cs="Times New Roman" w:eastAsia="Times New Roman" w:hAnsi="Times New Roman"/>
          <w:sz w:val="18"/>
          <w:szCs w:val="18"/>
          <w:color w:val="auto"/>
        </w:rPr>
        <w:t>DallasNews Corporation 2022 Annual Report on Form 10-K</w:t>
      </w:r>
      <w:r>
        <w:rPr>
          <w:sz w:val="20"/>
          <w:szCs w:val="20"/>
          <w:color w:val="auto"/>
        </w:rPr>
        <w:tab/>
      </w:r>
      <w:r>
        <w:rPr>
          <w:rFonts w:ascii="Times New Roman" w:cs="Times New Roman" w:eastAsia="Times New Roman" w:hAnsi="Times New Roman"/>
          <w:sz w:val="17"/>
          <w:szCs w:val="17"/>
          <w:b w:val="1"/>
          <w:bCs w:val="1"/>
          <w:color w:val="auto"/>
        </w:rPr>
        <w:t>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DallasNews Corporation and Subsidiaries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and per share amounts</w:t>
            </w:r>
          </w:p>
        </w:tc>
        <w:tc>
          <w:tcPr>
            <w:tcW w:w="500" w:type="dxa"/>
            <w:vAlign w:val="bottom"/>
            <w:tcBorders>
              <w:top w:val="single" w:sz="8" w:color="auto"/>
              <w:bottom w:val="single" w:sz="8" w:color="auto"/>
            </w:tcBorders>
          </w:tcPr>
          <w:p>
            <w:pPr>
              <w:spacing w:after="0"/>
              <w:rPr>
                <w:sz w:val="17"/>
                <w:szCs w:val="17"/>
                <w:color w:val="auto"/>
              </w:rPr>
            </w:pPr>
          </w:p>
        </w:tc>
        <w:tc>
          <w:tcPr>
            <w:tcW w:w="2640" w:type="dxa"/>
            <w:vAlign w:val="bottom"/>
            <w:tcBorders>
              <w:top w:val="single" w:sz="8" w:color="auto"/>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i w:val="1"/>
                <w:iCs w:val="1"/>
                <w:color w:val="auto"/>
              </w:rPr>
              <w:t>Years Ended December 31,</w:t>
            </w:r>
          </w:p>
        </w:tc>
        <w:tc>
          <w:tcPr>
            <w:tcW w:w="13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678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831"/>
              <w:spacing w:after="0"/>
              <w:rPr>
                <w:sz w:val="20"/>
                <w:szCs w:val="20"/>
                <w:color w:val="auto"/>
              </w:rPr>
            </w:pPr>
            <w:r>
              <w:rPr>
                <w:rFonts w:ascii="Times New Roman" w:cs="Times New Roman" w:eastAsia="Times New Roman" w:hAnsi="Times New Roman"/>
                <w:sz w:val="14"/>
                <w:szCs w:val="14"/>
                <w:b w:val="1"/>
                <w:bCs w:val="1"/>
                <w:i w:val="1"/>
                <w:iCs w:val="1"/>
                <w:color w:val="auto"/>
              </w:rPr>
              <w:t>2021</w:t>
            </w:r>
          </w:p>
        </w:tc>
        <w:tc>
          <w:tcPr>
            <w:tcW w:w="0" w:type="dxa"/>
            <w:vAlign w:val="bottom"/>
          </w:tcPr>
          <w:p>
            <w:pPr>
              <w:spacing w:after="0"/>
              <w:rPr>
                <w:sz w:val="1"/>
                <w:szCs w:val="1"/>
                <w:color w:val="auto"/>
              </w:rPr>
            </w:pPr>
          </w:p>
        </w:tc>
      </w:tr>
      <w:tr>
        <w:trPr>
          <w:trHeight w:val="189"/>
        </w:trPr>
        <w:tc>
          <w:tcPr>
            <w:tcW w:w="67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Net Operating Revenue:</w:t>
            </w:r>
          </w:p>
        </w:tc>
        <w:tc>
          <w:tcPr>
            <w:tcW w:w="5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8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Advertising and marketing services</w:t>
            </w:r>
          </w:p>
        </w:tc>
        <w:tc>
          <w:tcPr>
            <w:tcW w:w="500" w:type="dxa"/>
            <w:vAlign w:val="bottom"/>
          </w:tcPr>
          <w:p>
            <w:pPr>
              <w:jc w:val="right"/>
              <w:ind w:right="3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69,667</w:t>
            </w:r>
          </w:p>
        </w:tc>
        <w:tc>
          <w:tcPr>
            <w:tcW w:w="120" w:type="dxa"/>
            <w:vAlign w:val="bottom"/>
          </w:tcPr>
          <w:p>
            <w:pPr>
              <w:spacing w:after="0"/>
              <w:rPr>
                <w:sz w:val="16"/>
                <w:szCs w:val="16"/>
                <w:color w:val="auto"/>
              </w:rPr>
            </w:pPr>
          </w:p>
        </w:tc>
        <w:tc>
          <w:tcPr>
            <w:tcW w:w="900" w:type="dxa"/>
            <w:vAlign w:val="bottom"/>
            <w:gridSpan w:val="2"/>
          </w:tcPr>
          <w:p>
            <w:pPr>
              <w:jc w:val="right"/>
              <w:ind w:right="6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73,271</w:t>
            </w:r>
          </w:p>
        </w:tc>
        <w:tc>
          <w:tcPr>
            <w:tcW w:w="0" w:type="dxa"/>
            <w:vAlign w:val="bottom"/>
          </w:tcPr>
          <w:p>
            <w:pPr>
              <w:spacing w:after="0"/>
              <w:rPr>
                <w:sz w:val="1"/>
                <w:szCs w:val="1"/>
                <w:color w:val="auto"/>
              </w:rPr>
            </w:pPr>
          </w:p>
        </w:tc>
      </w:tr>
      <w:tr>
        <w:trPr>
          <w:trHeight w:val="189"/>
        </w:trPr>
        <w:tc>
          <w:tcPr>
            <w:tcW w:w="678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Circulation</w:t>
            </w:r>
          </w:p>
        </w:tc>
        <w:tc>
          <w:tcPr>
            <w:tcW w:w="50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65,191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64,943</w:t>
            </w:r>
          </w:p>
        </w:tc>
        <w:tc>
          <w:tcPr>
            <w:tcW w:w="0" w:type="dxa"/>
            <w:vAlign w:val="bottom"/>
          </w:tcPr>
          <w:p>
            <w:pPr>
              <w:spacing w:after="0"/>
              <w:rPr>
                <w:sz w:val="1"/>
                <w:szCs w:val="1"/>
                <w:color w:val="auto"/>
              </w:rPr>
            </w:pPr>
          </w:p>
        </w:tc>
      </w:tr>
      <w:tr>
        <w:trPr>
          <w:trHeight w:val="196"/>
        </w:trPr>
        <w:tc>
          <w:tcPr>
            <w:tcW w:w="6780" w:type="dxa"/>
            <w:vAlign w:val="bottom"/>
            <w:tcBorders>
              <w:bottom w:val="single" w:sz="8" w:color="CCEEFF"/>
            </w:tcBorders>
          </w:tcPr>
          <w:p>
            <w:pPr>
              <w:ind w:left="220"/>
              <w:spacing w:after="0" w:line="189" w:lineRule="exact"/>
              <w:rPr>
                <w:sz w:val="20"/>
                <w:szCs w:val="20"/>
                <w:color w:val="auto"/>
              </w:rPr>
            </w:pPr>
            <w:r>
              <w:rPr>
                <w:rFonts w:ascii="Times New Roman" w:cs="Times New Roman" w:eastAsia="Times New Roman" w:hAnsi="Times New Roman"/>
                <w:sz w:val="18"/>
                <w:szCs w:val="18"/>
                <w:color w:val="auto"/>
              </w:rPr>
              <w:t>Printing, distribution and other</w:t>
            </w:r>
          </w:p>
        </w:tc>
        <w:tc>
          <w:tcPr>
            <w:tcW w:w="5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15,793</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16,160</w:t>
            </w:r>
          </w:p>
        </w:tc>
        <w:tc>
          <w:tcPr>
            <w:tcW w:w="0" w:type="dxa"/>
            <w:vAlign w:val="bottom"/>
          </w:tcPr>
          <w:p>
            <w:pPr>
              <w:spacing w:after="0"/>
              <w:rPr>
                <w:sz w:val="1"/>
                <w:szCs w:val="1"/>
                <w:color w:val="auto"/>
              </w:rPr>
            </w:pPr>
          </w:p>
        </w:tc>
      </w:tr>
      <w:tr>
        <w:trPr>
          <w:trHeight w:val="189"/>
        </w:trPr>
        <w:tc>
          <w:tcPr>
            <w:tcW w:w="6780" w:type="dxa"/>
            <w:vAlign w:val="bottom"/>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Total net operating revenue</w:t>
            </w:r>
          </w:p>
        </w:tc>
        <w:tc>
          <w:tcPr>
            <w:tcW w:w="50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150,651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154,374</w:t>
            </w:r>
          </w:p>
        </w:tc>
        <w:tc>
          <w:tcPr>
            <w:tcW w:w="0" w:type="dxa"/>
            <w:vAlign w:val="bottom"/>
          </w:tcPr>
          <w:p>
            <w:pPr>
              <w:spacing w:after="0"/>
              <w:rPr>
                <w:sz w:val="1"/>
                <w:szCs w:val="1"/>
                <w:color w:val="auto"/>
              </w:rPr>
            </w:pPr>
          </w:p>
        </w:tc>
      </w:tr>
      <w:tr>
        <w:trPr>
          <w:trHeight w:val="189"/>
        </w:trPr>
        <w:tc>
          <w:tcPr>
            <w:tcW w:w="678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Operating Costs and Expense:</w:t>
            </w:r>
          </w:p>
        </w:tc>
        <w:tc>
          <w:tcPr>
            <w:tcW w:w="5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8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Employee compensation and benefits</w:t>
            </w:r>
          </w:p>
        </w:tc>
        <w:tc>
          <w:tcPr>
            <w:tcW w:w="50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67,096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69,078</w:t>
            </w:r>
          </w:p>
        </w:tc>
        <w:tc>
          <w:tcPr>
            <w:tcW w:w="0" w:type="dxa"/>
            <w:vAlign w:val="bottom"/>
          </w:tcPr>
          <w:p>
            <w:pPr>
              <w:spacing w:after="0"/>
              <w:rPr>
                <w:sz w:val="1"/>
                <w:szCs w:val="1"/>
                <w:color w:val="auto"/>
              </w:rPr>
            </w:pPr>
          </w:p>
        </w:tc>
      </w:tr>
      <w:tr>
        <w:trPr>
          <w:trHeight w:val="189"/>
        </w:trPr>
        <w:tc>
          <w:tcPr>
            <w:tcW w:w="678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Other production, distribution and operating costs</w:t>
            </w:r>
          </w:p>
        </w:tc>
        <w:tc>
          <w:tcPr>
            <w:tcW w:w="500" w:type="dxa"/>
            <w:vAlign w:val="bottom"/>
          </w:tcPr>
          <w:p>
            <w:pPr>
              <w:spacing w:after="0"/>
              <w:rPr>
                <w:sz w:val="16"/>
                <w:szCs w:val="16"/>
                <w:color w:val="auto"/>
              </w:rPr>
            </w:pPr>
          </w:p>
        </w:tc>
        <w:tc>
          <w:tcPr>
            <w:tcW w:w="16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78,638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81,041</w:t>
            </w:r>
          </w:p>
        </w:tc>
        <w:tc>
          <w:tcPr>
            <w:tcW w:w="0" w:type="dxa"/>
            <w:vAlign w:val="bottom"/>
          </w:tcPr>
          <w:p>
            <w:pPr>
              <w:spacing w:after="0"/>
              <w:rPr>
                <w:sz w:val="1"/>
                <w:szCs w:val="1"/>
                <w:color w:val="auto"/>
              </w:rPr>
            </w:pPr>
          </w:p>
        </w:tc>
      </w:tr>
      <w:tr>
        <w:trPr>
          <w:trHeight w:val="189"/>
        </w:trPr>
        <w:tc>
          <w:tcPr>
            <w:tcW w:w="678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Newsprint, ink and other supplies</w:t>
            </w:r>
          </w:p>
        </w:tc>
        <w:tc>
          <w:tcPr>
            <w:tcW w:w="50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11,035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9,878</w:t>
            </w:r>
          </w:p>
        </w:tc>
        <w:tc>
          <w:tcPr>
            <w:tcW w:w="0" w:type="dxa"/>
            <w:vAlign w:val="bottom"/>
          </w:tcPr>
          <w:p>
            <w:pPr>
              <w:spacing w:after="0"/>
              <w:rPr>
                <w:sz w:val="1"/>
                <w:szCs w:val="1"/>
                <w:color w:val="auto"/>
              </w:rPr>
            </w:pPr>
          </w:p>
        </w:tc>
      </w:tr>
      <w:tr>
        <w:trPr>
          <w:trHeight w:val="189"/>
        </w:trPr>
        <w:tc>
          <w:tcPr>
            <w:tcW w:w="678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Depreciation</w:t>
            </w:r>
          </w:p>
        </w:tc>
        <w:tc>
          <w:tcPr>
            <w:tcW w:w="500" w:type="dxa"/>
            <w:vAlign w:val="bottom"/>
          </w:tcPr>
          <w:p>
            <w:pPr>
              <w:spacing w:after="0"/>
              <w:rPr>
                <w:sz w:val="16"/>
                <w:szCs w:val="16"/>
                <w:color w:val="auto"/>
              </w:rPr>
            </w:pPr>
          </w:p>
        </w:tc>
        <w:tc>
          <w:tcPr>
            <w:tcW w:w="16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2,709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4,002</w:t>
            </w:r>
          </w:p>
        </w:tc>
        <w:tc>
          <w:tcPr>
            <w:tcW w:w="0" w:type="dxa"/>
            <w:vAlign w:val="bottom"/>
          </w:tcPr>
          <w:p>
            <w:pPr>
              <w:spacing w:after="0"/>
              <w:rPr>
                <w:sz w:val="1"/>
                <w:szCs w:val="1"/>
                <w:color w:val="auto"/>
              </w:rPr>
            </w:pPr>
          </w:p>
        </w:tc>
      </w:tr>
      <w:tr>
        <w:trPr>
          <w:trHeight w:val="189"/>
        </w:trPr>
        <w:tc>
          <w:tcPr>
            <w:tcW w:w="678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Amortization</w:t>
            </w:r>
          </w:p>
        </w:tc>
        <w:tc>
          <w:tcPr>
            <w:tcW w:w="50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89"/>
        </w:trPr>
        <w:tc>
          <w:tcPr>
            <w:tcW w:w="678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Loss on sale/disposal of assets, net</w:t>
            </w:r>
          </w:p>
        </w:tc>
        <w:tc>
          <w:tcPr>
            <w:tcW w:w="500" w:type="dxa"/>
            <w:vAlign w:val="bottom"/>
          </w:tcPr>
          <w:p>
            <w:pPr>
              <w:spacing w:after="0"/>
              <w:rPr>
                <w:sz w:val="16"/>
                <w:szCs w:val="16"/>
                <w:color w:val="auto"/>
              </w:rPr>
            </w:pPr>
          </w:p>
        </w:tc>
        <w:tc>
          <w:tcPr>
            <w:tcW w:w="16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9"/>
        </w:trPr>
        <w:tc>
          <w:tcPr>
            <w:tcW w:w="6780" w:type="dxa"/>
            <w:vAlign w:val="bottom"/>
            <w:tcBorders>
              <w:bottom w:val="single" w:sz="8" w:color="CCEEFF"/>
            </w:tcBorders>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Asset impairments</w:t>
            </w:r>
          </w:p>
        </w:tc>
        <w:tc>
          <w:tcPr>
            <w:tcW w:w="5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183"/>
        </w:trPr>
        <w:tc>
          <w:tcPr>
            <w:tcW w:w="6780" w:type="dxa"/>
            <w:vAlign w:val="bottom"/>
            <w:tcBorders>
              <w:bottom w:val="single" w:sz="8" w:color="CCEEFF"/>
            </w:tcBorders>
          </w:tcPr>
          <w:p>
            <w:pPr>
              <w:ind w:left="340"/>
              <w:spacing w:after="0" w:line="176" w:lineRule="exact"/>
              <w:rPr>
                <w:sz w:val="20"/>
                <w:szCs w:val="20"/>
                <w:color w:val="auto"/>
              </w:rPr>
            </w:pPr>
            <w:r>
              <w:rPr>
                <w:rFonts w:ascii="Times New Roman" w:cs="Times New Roman" w:eastAsia="Times New Roman" w:hAnsi="Times New Roman"/>
                <w:sz w:val="18"/>
                <w:szCs w:val="18"/>
                <w:color w:val="auto"/>
              </w:rPr>
              <w:t>Total operating costs and expense</w:t>
            </w:r>
          </w:p>
        </w:tc>
        <w:tc>
          <w:tcPr>
            <w:tcW w:w="5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159,638</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164,324</w:t>
            </w:r>
          </w:p>
        </w:tc>
        <w:tc>
          <w:tcPr>
            <w:tcW w:w="0" w:type="dxa"/>
            <w:vAlign w:val="bottom"/>
          </w:tcPr>
          <w:p>
            <w:pPr>
              <w:spacing w:after="0"/>
              <w:rPr>
                <w:sz w:val="1"/>
                <w:szCs w:val="1"/>
                <w:color w:val="auto"/>
              </w:rPr>
            </w:pPr>
          </w:p>
        </w:tc>
      </w:tr>
      <w:tr>
        <w:trPr>
          <w:trHeight w:val="189"/>
        </w:trPr>
        <w:tc>
          <w:tcPr>
            <w:tcW w:w="6780" w:type="dxa"/>
            <w:vAlign w:val="bottom"/>
            <w:shd w:val="clear" w:color="auto" w:fill="CCEEFF"/>
          </w:tcPr>
          <w:p>
            <w:pPr>
              <w:ind w:left="440"/>
              <w:spacing w:after="0" w:line="189" w:lineRule="exact"/>
              <w:rPr>
                <w:sz w:val="20"/>
                <w:szCs w:val="20"/>
                <w:color w:val="auto"/>
              </w:rPr>
            </w:pPr>
            <w:r>
              <w:rPr>
                <w:rFonts w:ascii="Times New Roman" w:cs="Times New Roman" w:eastAsia="Times New Roman" w:hAnsi="Times New Roman"/>
                <w:sz w:val="18"/>
                <w:szCs w:val="18"/>
                <w:color w:val="auto"/>
              </w:rPr>
              <w:t>Operating loss</w:t>
            </w:r>
          </w:p>
        </w:tc>
        <w:tc>
          <w:tcPr>
            <w:tcW w:w="50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(8,987)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(9,950)</w:t>
            </w:r>
          </w:p>
        </w:tc>
        <w:tc>
          <w:tcPr>
            <w:tcW w:w="0" w:type="dxa"/>
            <w:vAlign w:val="bottom"/>
          </w:tcPr>
          <w:p>
            <w:pPr>
              <w:spacing w:after="0"/>
              <w:rPr>
                <w:sz w:val="1"/>
                <w:szCs w:val="1"/>
                <w:color w:val="auto"/>
              </w:rPr>
            </w:pPr>
          </w:p>
        </w:tc>
      </w:tr>
      <w:tr>
        <w:trPr>
          <w:trHeight w:val="196"/>
        </w:trPr>
        <w:tc>
          <w:tcPr>
            <w:tcW w:w="678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Other income (loss), net</w:t>
            </w:r>
          </w:p>
        </w:tc>
        <w:tc>
          <w:tcPr>
            <w:tcW w:w="500" w:type="dxa"/>
            <w:vAlign w:val="bottom"/>
          </w:tcPr>
          <w:p>
            <w:pPr>
              <w:spacing w:after="0"/>
              <w:rPr>
                <w:sz w:val="17"/>
                <w:szCs w:val="17"/>
                <w:color w:val="auto"/>
              </w:rPr>
            </w:pPr>
          </w:p>
        </w:tc>
        <w:tc>
          <w:tcPr>
            <w:tcW w:w="1740" w:type="dxa"/>
            <w:vAlign w:val="bottom"/>
            <w:gridSpan w:val="2"/>
          </w:tcPr>
          <w:p>
            <w:pPr>
              <w:jc w:val="right"/>
              <w:ind w:right="120"/>
              <w:spacing w:after="0" w:line="189" w:lineRule="exact"/>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7,332</w:t>
            </w:r>
          </w:p>
        </w:tc>
        <w:tc>
          <w:tcPr>
            <w:tcW w:w="0" w:type="dxa"/>
            <w:vAlign w:val="bottom"/>
          </w:tcPr>
          <w:p>
            <w:pPr>
              <w:spacing w:after="0"/>
              <w:rPr>
                <w:sz w:val="1"/>
                <w:szCs w:val="1"/>
                <w:color w:val="auto"/>
              </w:rPr>
            </w:pPr>
          </w:p>
        </w:tc>
      </w:tr>
      <w:tr>
        <w:trPr>
          <w:trHeight w:val="189"/>
        </w:trPr>
        <w:tc>
          <w:tcPr>
            <w:tcW w:w="678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500" w:type="dxa"/>
            <w:vAlign w:val="bottom"/>
            <w:tcBorders>
              <w:top w:val="single" w:sz="8" w:color="auto"/>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(9,228)</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(2,618)</w:t>
            </w:r>
          </w:p>
        </w:tc>
        <w:tc>
          <w:tcPr>
            <w:tcW w:w="0" w:type="dxa"/>
            <w:vAlign w:val="bottom"/>
          </w:tcPr>
          <w:p>
            <w:pPr>
              <w:spacing w:after="0"/>
              <w:rPr>
                <w:sz w:val="1"/>
                <w:szCs w:val="1"/>
                <w:color w:val="auto"/>
              </w:rPr>
            </w:pPr>
          </w:p>
        </w:tc>
      </w:tr>
      <w:tr>
        <w:trPr>
          <w:trHeight w:val="196"/>
        </w:trPr>
        <w:tc>
          <w:tcPr>
            <w:tcW w:w="6780" w:type="dxa"/>
            <w:vAlign w:val="bottom"/>
            <w:tcBorders>
              <w:bottom w:val="single" w:sz="8" w:color="CCEEFF"/>
            </w:tcBorders>
          </w:tcPr>
          <w:p>
            <w:pPr>
              <w:ind w:left="220"/>
              <w:spacing w:after="0" w:line="189" w:lineRule="exact"/>
              <w:rPr>
                <w:sz w:val="20"/>
                <w:szCs w:val="20"/>
                <w:color w:val="auto"/>
              </w:rPr>
            </w:pPr>
            <w:r>
              <w:rPr>
                <w:rFonts w:ascii="Times New Roman" w:cs="Times New Roman" w:eastAsia="Times New Roman" w:hAnsi="Times New Roman"/>
                <w:sz w:val="18"/>
                <w:szCs w:val="18"/>
                <w:color w:val="auto"/>
              </w:rPr>
              <w:t>Income tax provision (benefit)</w:t>
            </w:r>
          </w:p>
        </w:tc>
        <w:tc>
          <w:tcPr>
            <w:tcW w:w="5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558</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(2,151)</w:t>
            </w:r>
          </w:p>
        </w:tc>
        <w:tc>
          <w:tcPr>
            <w:tcW w:w="0" w:type="dxa"/>
            <w:vAlign w:val="bottom"/>
          </w:tcPr>
          <w:p>
            <w:pPr>
              <w:spacing w:after="0"/>
              <w:rPr>
                <w:sz w:val="1"/>
                <w:szCs w:val="1"/>
                <w:color w:val="auto"/>
              </w:rPr>
            </w:pPr>
          </w:p>
        </w:tc>
      </w:tr>
      <w:tr>
        <w:trPr>
          <w:trHeight w:val="189"/>
        </w:trPr>
        <w:tc>
          <w:tcPr>
            <w:tcW w:w="6780" w:type="dxa"/>
            <w:vAlign w:val="bottom"/>
            <w:tcBorders>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500" w:type="dxa"/>
            <w:vAlign w:val="bottom"/>
            <w:tcBorders>
              <w:bottom w:val="single" w:sz="8" w:color="auto"/>
            </w:tcBorders>
            <w:shd w:val="clear" w:color="auto" w:fill="CCEEFF"/>
          </w:tcPr>
          <w:p>
            <w:pPr>
              <w:jc w:val="right"/>
              <w:ind w:right="3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(9,786)</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6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7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Per Share Basis</w:t>
            </w:r>
          </w:p>
        </w:tc>
        <w:tc>
          <w:tcPr>
            <w:tcW w:w="5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8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Net loss</w:t>
            </w:r>
          </w:p>
        </w:tc>
        <w:tc>
          <w:tcPr>
            <w:tcW w:w="5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80" w:type="dxa"/>
            <w:vAlign w:val="bottom"/>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Basic</w:t>
            </w:r>
          </w:p>
        </w:tc>
        <w:tc>
          <w:tcPr>
            <w:tcW w:w="500" w:type="dxa"/>
            <w:vAlign w:val="bottom"/>
            <w:shd w:val="clear" w:color="auto" w:fill="CCEEFF"/>
          </w:tcPr>
          <w:p>
            <w:pPr>
              <w:jc w:val="right"/>
              <w:ind w:right="3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120"/>
              <w:spacing w:after="0" w:line="189" w:lineRule="exact"/>
              <w:rPr>
                <w:sz w:val="20"/>
                <w:szCs w:val="20"/>
                <w:color w:val="auto"/>
              </w:rPr>
            </w:pPr>
            <w:r>
              <w:rPr>
                <w:rFonts w:ascii="Times New Roman" w:cs="Times New Roman" w:eastAsia="Times New Roman" w:hAnsi="Times New Roman"/>
                <w:sz w:val="18"/>
                <w:szCs w:val="18"/>
                <w:color w:val="auto"/>
              </w:rPr>
              <w:t>(1.83)</w:t>
            </w:r>
          </w:p>
        </w:tc>
        <w:tc>
          <w:tcPr>
            <w:tcW w:w="900" w:type="dxa"/>
            <w:vAlign w:val="bottom"/>
            <w:gridSpan w:val="2"/>
            <w:shd w:val="clear" w:color="auto" w:fill="CCEEFF"/>
          </w:tcPr>
          <w:p>
            <w:pPr>
              <w:jc w:val="right"/>
              <w:ind w:right="6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189"/>
        </w:trPr>
        <w:tc>
          <w:tcPr>
            <w:tcW w:w="678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Number of common shares used in the per share calculation:</w:t>
            </w:r>
          </w:p>
        </w:tc>
        <w:tc>
          <w:tcPr>
            <w:tcW w:w="5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80" w:type="dxa"/>
            <w:vAlign w:val="bottom"/>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Basic</w:t>
            </w:r>
          </w:p>
        </w:tc>
        <w:tc>
          <w:tcPr>
            <w:tcW w:w="50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5,352,490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5,352,490</w:t>
            </w: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the accompanying Notes to the Consolidated Financial Statements.</w:t>
      </w:r>
    </w:p>
    <w:p>
      <w:pPr>
        <w:spacing w:after="0" w:line="200" w:lineRule="exact"/>
        <w:rPr>
          <w:sz w:val="20"/>
          <w:szCs w:val="20"/>
          <w:color w:val="auto"/>
        </w:rPr>
      </w:pPr>
    </w:p>
    <w:p>
      <w:pPr>
        <w:spacing w:after="0" w:line="307" w:lineRule="exact"/>
        <w:rPr>
          <w:sz w:val="20"/>
          <w:szCs w:val="20"/>
          <w:color w:val="auto"/>
        </w:rPr>
      </w:pPr>
    </w:p>
    <w:p>
      <w:pPr>
        <w:jc w:val="right"/>
        <w:spacing w:after="0"/>
        <w:tabs>
          <w:tab w:leader="none" w:pos="700" w:val="left"/>
        </w:tabs>
        <w:rPr>
          <w:sz w:val="20"/>
          <w:szCs w:val="20"/>
          <w:color w:val="auto"/>
        </w:rPr>
      </w:pPr>
      <w:r>
        <w:rPr>
          <w:rFonts w:ascii="Times New Roman" w:cs="Times New Roman" w:eastAsia="Times New Roman" w:hAnsi="Times New Roman"/>
          <w:sz w:val="18"/>
          <w:szCs w:val="18"/>
          <w:color w:val="auto"/>
        </w:rPr>
        <w:t>DallasNews Corporation 2022 Annual Report on Form 10-K</w:t>
      </w:r>
      <w:r>
        <w:rPr>
          <w:sz w:val="20"/>
          <w:szCs w:val="20"/>
          <w:color w:val="auto"/>
        </w:rPr>
        <w:tab/>
      </w:r>
      <w:r>
        <w:rPr>
          <w:rFonts w:ascii="Times New Roman" w:cs="Times New Roman" w:eastAsia="Times New Roman" w:hAnsi="Times New Roman"/>
          <w:sz w:val="17"/>
          <w:szCs w:val="17"/>
          <w:b w:val="1"/>
          <w:bCs w:val="1"/>
          <w:color w:val="auto"/>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221615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1">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DallasNews Corporation and Subsidiaries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40" w:type="dxa"/>
            <w:vAlign w:val="bottom"/>
            <w:tcBorders>
              <w:top w:val="single" w:sz="8" w:color="auto"/>
              <w:bottom w:val="single" w:sz="8" w:color="auto"/>
            </w:tcBorders>
          </w:tcPr>
          <w:p>
            <w:pPr>
              <w:spacing w:after="0"/>
              <w:rPr>
                <w:sz w:val="17"/>
                <w:szCs w:val="17"/>
                <w:color w:val="auto"/>
              </w:rPr>
            </w:pPr>
          </w:p>
        </w:tc>
        <w:tc>
          <w:tcPr>
            <w:tcW w:w="23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Years Ended December 31,</w:t>
            </w:r>
          </w:p>
        </w:tc>
        <w:tc>
          <w:tcPr>
            <w:tcW w:w="11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728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1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4"/>
                <w:szCs w:val="14"/>
                <w:b w:val="1"/>
                <w:bCs w:val="1"/>
                <w:i w:val="1"/>
                <w:iCs w:val="1"/>
                <w:color w:val="auto"/>
              </w:rPr>
              <w:t>2021</w:t>
            </w:r>
          </w:p>
        </w:tc>
        <w:tc>
          <w:tcPr>
            <w:tcW w:w="0" w:type="dxa"/>
            <w:vAlign w:val="bottom"/>
          </w:tcPr>
          <w:p>
            <w:pPr>
              <w:spacing w:after="0"/>
              <w:rPr>
                <w:sz w:val="1"/>
                <w:szCs w:val="1"/>
                <w:color w:val="auto"/>
              </w:rPr>
            </w:pPr>
          </w:p>
        </w:tc>
      </w:tr>
      <w:tr>
        <w:trPr>
          <w:trHeight w:val="189"/>
        </w:trPr>
        <w:tc>
          <w:tcPr>
            <w:tcW w:w="72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440" w:type="dxa"/>
            <w:vAlign w:val="bottom"/>
            <w:shd w:val="clear" w:color="auto" w:fill="CCEEFF"/>
          </w:tcPr>
          <w:p>
            <w:pPr>
              <w:jc w:val="right"/>
              <w:ind w:right="27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(9,786)</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5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189"/>
        </w:trPr>
        <w:tc>
          <w:tcPr>
            <w:tcW w:w="728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8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Amortization of actuarial losses</w:t>
            </w: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522</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1,440</w:t>
            </w:r>
          </w:p>
        </w:tc>
        <w:tc>
          <w:tcPr>
            <w:tcW w:w="0" w:type="dxa"/>
            <w:vAlign w:val="bottom"/>
          </w:tcPr>
          <w:p>
            <w:pPr>
              <w:spacing w:after="0"/>
              <w:rPr>
                <w:sz w:val="1"/>
                <w:szCs w:val="1"/>
                <w:color w:val="auto"/>
              </w:rPr>
            </w:pPr>
          </w:p>
        </w:tc>
      </w:tr>
      <w:tr>
        <w:trPr>
          <w:trHeight w:val="196"/>
        </w:trPr>
        <w:tc>
          <w:tcPr>
            <w:tcW w:w="728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Actuarial losses</w:t>
            </w:r>
          </w:p>
        </w:tc>
        <w:tc>
          <w:tcPr>
            <w:tcW w:w="440" w:type="dxa"/>
            <w:vAlign w:val="bottom"/>
          </w:tcPr>
          <w:p>
            <w:pPr>
              <w:spacing w:after="0"/>
              <w:rPr>
                <w:sz w:val="17"/>
                <w:szCs w:val="17"/>
                <w:color w:val="auto"/>
              </w:rPr>
            </w:pPr>
          </w:p>
        </w:tc>
        <w:tc>
          <w:tcPr>
            <w:tcW w:w="162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(9,496)</w:t>
            </w:r>
          </w:p>
        </w:tc>
        <w:tc>
          <w:tcPr>
            <w:tcW w:w="760" w:type="dxa"/>
            <w:vAlign w:val="bottom"/>
          </w:tcPr>
          <w:p>
            <w:pPr>
              <w:spacing w:after="0"/>
              <w:rPr>
                <w:sz w:val="17"/>
                <w:szCs w:val="17"/>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(1,378)</w:t>
            </w:r>
          </w:p>
        </w:tc>
        <w:tc>
          <w:tcPr>
            <w:tcW w:w="0" w:type="dxa"/>
            <w:vAlign w:val="bottom"/>
          </w:tcPr>
          <w:p>
            <w:pPr>
              <w:spacing w:after="0"/>
              <w:rPr>
                <w:sz w:val="1"/>
                <w:szCs w:val="1"/>
                <w:color w:val="auto"/>
              </w:rPr>
            </w:pPr>
          </w:p>
        </w:tc>
      </w:tr>
      <w:tr>
        <w:trPr>
          <w:trHeight w:val="209"/>
        </w:trPr>
        <w:tc>
          <w:tcPr>
            <w:tcW w:w="7280" w:type="dxa"/>
            <w:vAlign w:val="bottom"/>
            <w:tcBorders>
              <w:top w:val="single" w:sz="8" w:color="CCEEFF"/>
              <w:bottom w:val="single" w:sz="8" w:color="CCEEFF"/>
            </w:tcBorders>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(8,974)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76"/>
        </w:trPr>
        <w:tc>
          <w:tcPr>
            <w:tcW w:w="728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440" w:type="dxa"/>
            <w:vAlign w:val="bottom"/>
            <w:tcBorders>
              <w:bottom w:val="single" w:sz="8" w:color="auto"/>
            </w:tcBorders>
          </w:tcPr>
          <w:p>
            <w:pPr>
              <w:jc w:val="right"/>
              <w:ind w:right="276"/>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(18,760)</w:t>
            </w:r>
          </w:p>
        </w:tc>
        <w:tc>
          <w:tcPr>
            <w:tcW w:w="160" w:type="dxa"/>
            <w:vAlign w:val="bottom"/>
          </w:tcPr>
          <w:p>
            <w:pPr>
              <w:spacing w:after="0"/>
              <w:rPr>
                <w:sz w:val="15"/>
                <w:szCs w:val="15"/>
                <w:color w:val="auto"/>
              </w:rPr>
            </w:pPr>
          </w:p>
        </w:tc>
        <w:tc>
          <w:tcPr>
            <w:tcW w:w="760" w:type="dxa"/>
            <w:vAlign w:val="bottom"/>
            <w:tcBorders>
              <w:bottom w:val="single" w:sz="8" w:color="auto"/>
            </w:tcBorders>
          </w:tcPr>
          <w:p>
            <w:pPr>
              <w:jc w:val="right"/>
              <w:ind w:right="57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the accompanying Notes to the Consolidated Financial Statements.</w:t>
      </w:r>
    </w:p>
    <w:p>
      <w:pPr>
        <w:spacing w:after="0" w:line="200" w:lineRule="exact"/>
        <w:rPr>
          <w:sz w:val="20"/>
          <w:szCs w:val="20"/>
          <w:color w:val="auto"/>
        </w:rPr>
      </w:pPr>
    </w:p>
    <w:p>
      <w:pPr>
        <w:spacing w:after="0" w:line="307" w:lineRule="exact"/>
        <w:rPr>
          <w:sz w:val="20"/>
          <w:szCs w:val="20"/>
          <w:color w:val="auto"/>
        </w:rPr>
      </w:pPr>
    </w:p>
    <w:p>
      <w:pPr>
        <w:jc w:val="right"/>
        <w:spacing w:after="0"/>
        <w:tabs>
          <w:tab w:leader="none" w:pos="700" w:val="left"/>
        </w:tabs>
        <w:rPr>
          <w:sz w:val="20"/>
          <w:szCs w:val="20"/>
          <w:color w:val="auto"/>
        </w:rPr>
      </w:pPr>
      <w:r>
        <w:rPr>
          <w:rFonts w:ascii="Times New Roman" w:cs="Times New Roman" w:eastAsia="Times New Roman" w:hAnsi="Times New Roman"/>
          <w:sz w:val="18"/>
          <w:szCs w:val="18"/>
          <w:color w:val="auto"/>
        </w:rPr>
        <w:t>DallasNews Corporation 2022 Annual Report on Form 10-K</w:t>
      </w:r>
      <w:r>
        <w:rPr>
          <w:sz w:val="20"/>
          <w:szCs w:val="20"/>
          <w:color w:val="auto"/>
        </w:rPr>
        <w:tab/>
      </w:r>
      <w:r>
        <w:rPr>
          <w:rFonts w:ascii="Times New Roman" w:cs="Times New Roman" w:eastAsia="Times New Roman" w:hAnsi="Times New Roman"/>
          <w:sz w:val="17"/>
          <w:szCs w:val="17"/>
          <w:b w:val="1"/>
          <w:bCs w:val="1"/>
          <w:color w:val="auto"/>
        </w:rPr>
        <w:t>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221615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3">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DallasNews Corporation and Subsidiaries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i w:val="1"/>
                <w:iCs w:val="1"/>
                <w:color w:val="auto"/>
              </w:rPr>
              <w:t>December 31,</w:t>
            </w: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right"/>
              <w:ind w:right="211"/>
              <w:spacing w:after="0"/>
              <w:rPr>
                <w:sz w:val="20"/>
                <w:szCs w:val="20"/>
                <w:color w:val="auto"/>
              </w:rPr>
            </w:pPr>
            <w:r>
              <w:rPr>
                <w:rFonts w:ascii="Times New Roman" w:cs="Times New Roman" w:eastAsia="Times New Roman" w:hAnsi="Times New Roman"/>
                <w:sz w:val="14"/>
                <w:szCs w:val="14"/>
                <w:b w:val="1"/>
                <w:bCs w:val="1"/>
                <w:i w:val="1"/>
                <w:iCs w:val="1"/>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amounts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i w:val="1"/>
                <w:iCs w:val="1"/>
                <w:color w:val="auto"/>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2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2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2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3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27,825</w:t>
            </w:r>
          </w:p>
        </w:tc>
        <w:tc>
          <w:tcPr>
            <w:tcW w:w="10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32,439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8220" w:type="dxa"/>
            <w:vAlign w:val="bottom"/>
          </w:tcPr>
          <w:p>
            <w:pPr>
              <w:ind w:left="220"/>
              <w:spacing w:after="0" w:line="170" w:lineRule="exact"/>
              <w:rPr>
                <w:sz w:val="20"/>
                <w:szCs w:val="20"/>
                <w:color w:val="auto"/>
              </w:rPr>
            </w:pPr>
            <w:r>
              <w:rPr>
                <w:rFonts w:ascii="Times New Roman" w:cs="Times New Roman" w:eastAsia="Times New Roman" w:hAnsi="Times New Roman"/>
                <w:sz w:val="18"/>
                <w:szCs w:val="18"/>
                <w:color w:val="auto"/>
              </w:rPr>
              <w:t>Accounts receivable (net of allowance of $490 and $551 at December 31, 2022</w:t>
            </w: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2021, respectively)</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22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Notes receivable</w:t>
            </w:r>
          </w:p>
        </w:tc>
        <w:tc>
          <w:tcPr>
            <w:tcW w:w="2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22,400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2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2,725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2,192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220" w:type="dxa"/>
            <w:vAlign w:val="bottom"/>
            <w:tcBorders>
              <w:bottom w:val="single" w:sz="8" w:color="CCEEFF"/>
            </w:tcBorders>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Prepaids and other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3,352</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3,485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220" w:type="dxa"/>
            <w:vAlign w:val="bottom"/>
            <w:tcBorders>
              <w:bottom w:val="single" w:sz="8" w:color="CCEEFF"/>
            </w:tcBorders>
          </w:tcPr>
          <w:p>
            <w:pPr>
              <w:ind w:left="560"/>
              <w:spacing w:after="0" w:line="176" w:lineRule="exact"/>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47,925</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76,528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22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Property, plant and equipment, at cost</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313,440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312,979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22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tcPr>
          <w:p>
            <w:pPr>
              <w:spacing w:after="0"/>
              <w:rPr>
                <w:sz w:val="17"/>
                <w:szCs w:val="17"/>
                <w:color w:val="auto"/>
              </w:rPr>
            </w:pPr>
          </w:p>
        </w:tc>
        <w:tc>
          <w:tcPr>
            <w:tcW w:w="132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(306,002)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(304,157)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220" w:type="dxa"/>
            <w:vAlign w:val="bottom"/>
            <w:tcBorders>
              <w:top w:val="single" w:sz="8" w:color="CCEEFF"/>
            </w:tcBorders>
            <w:shd w:val="clear" w:color="auto" w:fill="CCEEFF"/>
          </w:tcPr>
          <w:p>
            <w:pPr>
              <w:ind w:left="560"/>
              <w:spacing w:after="0" w:line="189" w:lineRule="exact"/>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7,438</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8,822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2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14,811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17,648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2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Deferred income taxes, net</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1,809</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2,197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220" w:type="dxa"/>
            <w:vAlign w:val="bottom"/>
            <w:tcBorders>
              <w:bottom w:val="single" w:sz="8" w:color="CCEEFF"/>
            </w:tcBorders>
            <w:shd w:val="clear" w:color="auto" w:fill="CCEEFF"/>
          </w:tcPr>
          <w:p>
            <w:pPr>
              <w:ind w:left="560"/>
              <w:spacing w:after="0" w:line="189" w:lineRule="exact"/>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ind w:right="3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72,265</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105,452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22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2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3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5,041</w:t>
            </w:r>
          </w:p>
        </w:tc>
        <w:tc>
          <w:tcPr>
            <w:tcW w:w="100" w:type="dxa"/>
            <w:vAlign w:val="bottom"/>
          </w:tcPr>
          <w:p>
            <w:pPr>
              <w:spacing w:after="0"/>
              <w:rPr>
                <w:sz w:val="16"/>
                <w:szCs w:val="16"/>
                <w:color w:val="auto"/>
              </w:rPr>
            </w:pPr>
          </w:p>
        </w:tc>
        <w:tc>
          <w:tcPr>
            <w:tcW w:w="280" w:type="dxa"/>
            <w:vAlign w:val="bottom"/>
            <w:gridSpan w:val="2"/>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7,821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2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Accrued compensation and benefits</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4,154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4,932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2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Other accrued expense</w:t>
            </w:r>
          </w:p>
        </w:tc>
        <w:tc>
          <w:tcPr>
            <w:tcW w:w="20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4,060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4,573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220" w:type="dxa"/>
            <w:vAlign w:val="bottom"/>
            <w:tcBorders>
              <w:bottom w:val="single" w:sz="8" w:color="CCEEFF"/>
            </w:tcBorders>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9,504</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10,592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220" w:type="dxa"/>
            <w:vAlign w:val="bottom"/>
            <w:tcBorders>
              <w:bottom w:val="single" w:sz="8" w:color="CCEEFF"/>
            </w:tcBorders>
          </w:tcPr>
          <w:p>
            <w:pPr>
              <w:ind w:left="560"/>
              <w:spacing w:after="0" w:line="176" w:lineRule="exact"/>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22,759</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27,918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22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Long-term pension liabilities</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19,455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14,275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2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Long-term operating lease liabilities</w:t>
            </w:r>
          </w:p>
        </w:tc>
        <w:tc>
          <w:tcPr>
            <w:tcW w:w="20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16,546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19,181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2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Other post-employment benefits</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982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220" w:type="dxa"/>
            <w:vAlign w:val="bottom"/>
            <w:shd w:val="clear" w:color="auto" w:fill="CCEEFF"/>
          </w:tcPr>
          <w:p>
            <w:pPr>
              <w:ind w:left="560"/>
              <w:spacing w:after="0" w:line="189" w:lineRule="exact"/>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59,902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62,875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2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2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Preferred stock, $0.01 par value; Authorized 2,000,000 shares; none issued</w:t>
            </w:r>
          </w:p>
        </w:tc>
        <w:tc>
          <w:tcPr>
            <w:tcW w:w="2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2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Common stock, $0.01 par value; Authorized 31,250,000 shares</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20" w:type="dxa"/>
            <w:vAlign w:val="bottom"/>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Series A: issued 5,216,237 and 5,216,045 shares at December 31, 2022 and 2021, respectively</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2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Series B: issued 614,718 and 614,910 shares at December 31, 2022 and 2021, respectively</w:t>
            </w:r>
          </w:p>
        </w:tc>
        <w:tc>
          <w:tcPr>
            <w:tcW w:w="20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2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Treasury stock, Series A, at cost; 478,465 shares held at December 31, 2022 and 2021</w:t>
            </w:r>
          </w:p>
        </w:tc>
        <w:tc>
          <w:tcPr>
            <w:tcW w:w="2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(13,443)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(13,443)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2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494,563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494,563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2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(41,380)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(32,406)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22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17"/>
                <w:szCs w:val="17"/>
                <w:color w:val="auto"/>
              </w:rPr>
            </w:pPr>
          </w:p>
        </w:tc>
        <w:tc>
          <w:tcPr>
            <w:tcW w:w="132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(427,435)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(406,195)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220" w:type="dxa"/>
            <w:vAlign w:val="bottom"/>
            <w:tcBorders>
              <w:top w:val="single" w:sz="8" w:color="CCEEFF"/>
              <w:bottom w:val="single" w:sz="8" w:color="CCEEFF"/>
            </w:tcBorders>
            <w:shd w:val="clear" w:color="auto" w:fill="CCEEFF"/>
          </w:tcPr>
          <w:p>
            <w:pPr>
              <w:ind w:left="660"/>
              <w:spacing w:after="0" w:line="189" w:lineRule="exact"/>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12,363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42,577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220" w:type="dxa"/>
            <w:vAlign w:val="bottom"/>
          </w:tcPr>
          <w:p>
            <w:pPr>
              <w:ind w:left="760"/>
              <w:spacing w:after="0" w:line="176" w:lineRule="exact"/>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tcBorders>
              <w:bottom w:val="single" w:sz="8" w:color="auto"/>
            </w:tcBorders>
          </w:tcPr>
          <w:p>
            <w:pPr>
              <w:jc w:val="right"/>
              <w:ind w:right="36"/>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72,265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105,452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See the accompanying Notes to the Consolidated Financial Statements.</w:t>
            </w: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2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300" w:type="dxa"/>
            <w:vAlign w:val="bottom"/>
            <w:gridSpan w:val="7"/>
          </w:tcPr>
          <w:p>
            <w:pPr>
              <w:ind w:left="5860"/>
              <w:spacing w:after="0"/>
              <w:rPr>
                <w:sz w:val="20"/>
                <w:szCs w:val="20"/>
                <w:color w:val="auto"/>
              </w:rPr>
            </w:pPr>
            <w:r>
              <w:rPr>
                <w:rFonts w:ascii="Times New Roman" w:cs="Times New Roman" w:eastAsia="Times New Roman" w:hAnsi="Times New Roman"/>
                <w:sz w:val="18"/>
                <w:szCs w:val="18"/>
                <w:color w:val="auto"/>
              </w:rPr>
              <w:t>DallasNews Corporation 2022 Annual Report on Form 10-K</w:t>
            </w: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w w:val="99"/>
              </w:rPr>
              <w:t>PAGE 29</w:t>
            </w:r>
          </w:p>
        </w:tc>
        <w:tc>
          <w:tcPr>
            <w:tcW w:w="0" w:type="dxa"/>
            <w:vAlign w:val="bottom"/>
          </w:tcPr>
          <w:p>
            <w:pPr>
              <w:spacing w:after="0"/>
              <w:rPr>
                <w:sz w:val="1"/>
                <w:szCs w:val="1"/>
                <w:color w:val="auto"/>
              </w:rPr>
            </w:pPr>
          </w:p>
        </w:tc>
      </w:tr>
      <w:tr>
        <w:trPr>
          <w:trHeight w:val="331"/>
        </w:trPr>
        <w:tc>
          <w:tcPr>
            <w:tcW w:w="8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6">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DallasNews Corporation and Subsidiaries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141605</wp:posOffset>
            </wp:positionV>
            <wp:extent cx="566610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7">
                      <a:extLst>
                        <a:ext uri="{28A0092B-C50C-407E-A947-70E740481C1C}"/>
                      </a:extLst>
                    </a:blip>
                    <a:srcRect/>
                    <a:stretch>
                      <a:fillRect/>
                    </a:stretch>
                  </pic:blipFill>
                  <pic:spPr bwMode="auto">
                    <a:xfrm>
                      <a:off x="0" y="0"/>
                      <a:ext cx="5666105" cy="17145"/>
                    </a:xfrm>
                    <a:prstGeom prst="rect">
                      <a:avLst/>
                    </a:prstGeom>
                    <a:noFill/>
                  </pic:spPr>
                </pic:pic>
              </a:graphicData>
            </a:graphic>
          </wp:anchor>
        </w:drawing>
      </w:r>
    </w:p>
    <w:p>
      <w:pPr>
        <w:spacing w:after="0" w:line="20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b w:val="1"/>
          <w:bCs w:val="1"/>
          <w:i w:val="1"/>
          <w:iCs w:val="1"/>
          <w:color w:val="auto"/>
        </w:rPr>
        <w:t>Years Ended December 31, 2022 and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20" w:type="dxa"/>
            <w:vAlign w:val="bottom"/>
          </w:tcPr>
          <w:p>
            <w:pPr>
              <w:spacing w:after="0"/>
              <w:rPr>
                <w:sz w:val="12"/>
                <w:szCs w:val="12"/>
                <w:color w:val="auto"/>
              </w:rPr>
            </w:pPr>
          </w:p>
        </w:tc>
        <w:tc>
          <w:tcPr>
            <w:tcW w:w="8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3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860" w:type="dxa"/>
            <w:vAlign w:val="bottom"/>
            <w:tcBorders>
              <w:top w:val="single" w:sz="8" w:color="auto"/>
              <w:bottom w:val="single" w:sz="8" w:color="auto"/>
            </w:tcBorders>
            <w:gridSpan w:val="4"/>
          </w:tcPr>
          <w:p>
            <w:pPr>
              <w:ind w:left="520"/>
              <w:spacing w:after="0" w:line="142" w:lineRule="exact"/>
              <w:rPr>
                <w:sz w:val="20"/>
                <w:szCs w:val="20"/>
                <w:color w:val="auto"/>
              </w:rPr>
            </w:pPr>
            <w:r>
              <w:rPr>
                <w:rFonts w:ascii="Times New Roman" w:cs="Times New Roman" w:eastAsia="Times New Roman" w:hAnsi="Times New Roman"/>
                <w:sz w:val="13"/>
                <w:szCs w:val="13"/>
                <w:b w:val="1"/>
                <w:bCs w:val="1"/>
                <w:color w:val="auto"/>
              </w:rPr>
              <w:t>Treasury Stock</w:t>
            </w: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and per</w:t>
            </w:r>
          </w:p>
        </w:tc>
        <w:tc>
          <w:tcPr>
            <w:tcW w:w="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jc w:val="center"/>
              <w:ind w:right="33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7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320" w:type="dxa"/>
            <w:vAlign w:val="bottom"/>
            <w:vMerge w:val="continue"/>
          </w:tcPr>
          <w:p>
            <w:pPr>
              <w:spacing w:after="0"/>
              <w:rPr>
                <w:sz w:val="11"/>
                <w:szCs w:val="11"/>
                <w:color w:val="auto"/>
              </w:rPr>
            </w:pPr>
          </w:p>
        </w:tc>
        <w:tc>
          <w:tcPr>
            <w:tcW w:w="840" w:type="dxa"/>
            <w:vAlign w:val="bottom"/>
          </w:tcPr>
          <w:p>
            <w:pPr>
              <w:ind w:left="240"/>
              <w:spacing w:after="0" w:line="128"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0" w:type="dxa"/>
            <w:vAlign w:val="bottom"/>
          </w:tcPr>
          <w:p>
            <w:pPr>
              <w:jc w:val="center"/>
              <w:ind w:left="10"/>
              <w:spacing w:after="0" w:line="128"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jc w:val="center"/>
              <w:ind w:right="310"/>
              <w:spacing w:after="0" w:line="128"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880" w:type="dxa"/>
            <w:vAlign w:val="bottom"/>
            <w:gridSpan w:val="2"/>
          </w:tcPr>
          <w:p>
            <w:pPr>
              <w:ind w:left="260"/>
              <w:spacing w:after="0" w:line="128"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60" w:type="dxa"/>
            <w:vAlign w:val="bottom"/>
          </w:tcPr>
          <w:p>
            <w:pPr>
              <w:spacing w:after="0"/>
              <w:rPr>
                <w:sz w:val="11"/>
                <w:szCs w:val="11"/>
                <w:color w:val="auto"/>
              </w:rPr>
            </w:pPr>
          </w:p>
        </w:tc>
        <w:tc>
          <w:tcPr>
            <w:tcW w:w="920" w:type="dxa"/>
            <w:vAlign w:val="bottom"/>
          </w:tcPr>
          <w:p>
            <w:pPr>
              <w:jc w:val="center"/>
              <w:ind w:right="49"/>
              <w:spacing w:after="0" w:line="128"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share amounts</w:t>
            </w:r>
          </w:p>
        </w:tc>
        <w:tc>
          <w:tcPr>
            <w:tcW w:w="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3"/>
                <w:szCs w:val="13"/>
                <w:b w:val="1"/>
                <w:bCs w:val="1"/>
                <w:color w:val="auto"/>
              </w:rPr>
              <w:t>‎Series A</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‎Series B</w:t>
            </w:r>
          </w:p>
        </w:tc>
        <w:tc>
          <w:tcPr>
            <w:tcW w:w="8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5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3"/>
                <w:szCs w:val="13"/>
                <w:b w:val="1"/>
                <w:bCs w:val="1"/>
                <w:color w:val="auto"/>
                <w:w w:val="96"/>
              </w:rPr>
              <w:t>Series‎</w:t>
            </w: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A</w:t>
            </w: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2"/>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December 31, 2020</w:t>
            </w:r>
          </w:p>
        </w:tc>
        <w:tc>
          <w:tcPr>
            <w:tcW w:w="84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5,213,710</w:t>
            </w:r>
          </w:p>
        </w:tc>
        <w:tc>
          <w:tcPr>
            <w:tcW w:w="10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rPr>
              <w:t>617,245</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233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494,389</w:t>
            </w:r>
          </w:p>
        </w:tc>
        <w:tc>
          <w:tcPr>
            <w:tcW w:w="8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4"/>
                <w:szCs w:val="14"/>
                <w:color w:val="auto"/>
              </w:rPr>
              <w:t>(478,465)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(13,443)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4"/>
                <w:szCs w:val="14"/>
                <w:color w:val="auto"/>
              </w:rPr>
              <w:t>(32,468)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rPr>
              <w:t>(402,303)</w:t>
            </w:r>
          </w:p>
        </w:tc>
        <w:tc>
          <w:tcPr>
            <w:tcW w:w="2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46,408</w:t>
            </w:r>
          </w:p>
        </w:tc>
        <w:tc>
          <w:tcPr>
            <w:tcW w:w="0" w:type="dxa"/>
            <w:vAlign w:val="bottom"/>
          </w:tcPr>
          <w:p>
            <w:pPr>
              <w:spacing w:after="0"/>
              <w:rPr>
                <w:sz w:val="1"/>
                <w:szCs w:val="1"/>
                <w:color w:val="auto"/>
              </w:rPr>
            </w:pPr>
          </w:p>
        </w:tc>
      </w:tr>
      <w:tr>
        <w:trPr>
          <w:trHeight w:val="162"/>
        </w:trPr>
        <w:tc>
          <w:tcPr>
            <w:tcW w:w="2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center"/>
              <w:ind w:left="70"/>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tcPr>
          <w:p>
            <w:pPr>
              <w:jc w:val="center"/>
              <w:ind w:left="290"/>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4"/>
                <w:szCs w:val="14"/>
                <w:color w:val="auto"/>
              </w:rPr>
            </w:pPr>
          </w:p>
        </w:tc>
        <w:tc>
          <w:tcPr>
            <w:tcW w:w="860" w:type="dxa"/>
            <w:vAlign w:val="bottom"/>
          </w:tcPr>
          <w:p>
            <w:pPr>
              <w:jc w:val="center"/>
              <w:ind w:left="1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4"/>
                <w:szCs w:val="14"/>
                <w:color w:val="auto"/>
              </w:rPr>
            </w:pPr>
          </w:p>
        </w:tc>
        <w:tc>
          <w:tcPr>
            <w:tcW w:w="92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(467)</w:t>
            </w:r>
          </w:p>
        </w:tc>
        <w:tc>
          <w:tcPr>
            <w:tcW w:w="2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(467)</w:t>
            </w:r>
          </w:p>
        </w:tc>
        <w:tc>
          <w:tcPr>
            <w:tcW w:w="0" w:type="dxa"/>
            <w:vAlign w:val="bottom"/>
          </w:tcPr>
          <w:p>
            <w:pPr>
              <w:spacing w:after="0"/>
              <w:rPr>
                <w:sz w:val="1"/>
                <w:szCs w:val="1"/>
                <w:color w:val="auto"/>
              </w:rPr>
            </w:pPr>
          </w:p>
        </w:tc>
      </w:tr>
      <w:tr>
        <w:trPr>
          <w:trHeight w:val="162"/>
        </w:trPr>
        <w:tc>
          <w:tcPr>
            <w:tcW w:w="2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rPr>
              <w:t>62</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62</w:t>
            </w:r>
          </w:p>
        </w:tc>
        <w:tc>
          <w:tcPr>
            <w:tcW w:w="0" w:type="dxa"/>
            <w:vAlign w:val="bottom"/>
          </w:tcPr>
          <w:p>
            <w:pPr>
              <w:spacing w:after="0"/>
              <w:rPr>
                <w:sz w:val="1"/>
                <w:szCs w:val="1"/>
                <w:color w:val="auto"/>
              </w:rPr>
            </w:pPr>
          </w:p>
        </w:tc>
      </w:tr>
      <w:tr>
        <w:trPr>
          <w:trHeight w:val="162"/>
        </w:trPr>
        <w:tc>
          <w:tcPr>
            <w:tcW w:w="2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Conversion of Series B to Series A</w:t>
            </w:r>
          </w:p>
        </w:tc>
        <w:tc>
          <w:tcPr>
            <w:tcW w:w="84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2,335</w:t>
            </w:r>
          </w:p>
        </w:tc>
        <w:tc>
          <w:tcPr>
            <w:tcW w:w="1000" w:type="dxa"/>
            <w:vAlign w:val="bottom"/>
          </w:tcPr>
          <w:p>
            <w:pPr>
              <w:jc w:val="center"/>
              <w:ind w:left="70"/>
              <w:spacing w:after="0"/>
              <w:rPr>
                <w:sz w:val="20"/>
                <w:szCs w:val="20"/>
                <w:color w:val="auto"/>
              </w:rPr>
            </w:pPr>
            <w:r>
              <w:rPr>
                <w:rFonts w:ascii="Times New Roman" w:cs="Times New Roman" w:eastAsia="Times New Roman" w:hAnsi="Times New Roman"/>
                <w:sz w:val="14"/>
                <w:szCs w:val="14"/>
                <w:color w:val="auto"/>
              </w:rPr>
              <w:t>(2,335)</w:t>
            </w:r>
          </w:p>
        </w:tc>
        <w:tc>
          <w:tcPr>
            <w:tcW w:w="3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tcPr>
          <w:p>
            <w:pPr>
              <w:jc w:val="center"/>
              <w:ind w:left="290"/>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4"/>
                <w:szCs w:val="14"/>
                <w:color w:val="auto"/>
              </w:rPr>
            </w:pPr>
          </w:p>
        </w:tc>
        <w:tc>
          <w:tcPr>
            <w:tcW w:w="860" w:type="dxa"/>
            <w:vAlign w:val="bottom"/>
          </w:tcPr>
          <w:p>
            <w:pPr>
              <w:jc w:val="center"/>
              <w:ind w:left="1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4"/>
                <w:szCs w:val="14"/>
                <w:color w:val="auto"/>
              </w:rPr>
            </w:pPr>
          </w:p>
        </w:tc>
        <w:tc>
          <w:tcPr>
            <w:tcW w:w="92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62"/>
        </w:trPr>
        <w:tc>
          <w:tcPr>
            <w:tcW w:w="2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Dividends declared ($0.64 per share)</w:t>
            </w:r>
          </w:p>
        </w:tc>
        <w:tc>
          <w:tcPr>
            <w:tcW w:w="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w w:val="97"/>
              </w:rPr>
              <w:t>(3,425)</w:t>
            </w: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(3,425)</w:t>
            </w:r>
          </w:p>
        </w:tc>
        <w:tc>
          <w:tcPr>
            <w:tcW w:w="0" w:type="dxa"/>
            <w:vAlign w:val="bottom"/>
          </w:tcPr>
          <w:p>
            <w:pPr>
              <w:spacing w:after="0"/>
              <w:rPr>
                <w:sz w:val="1"/>
                <w:szCs w:val="1"/>
                <w:color w:val="auto"/>
              </w:rPr>
            </w:pPr>
          </w:p>
        </w:tc>
      </w:tr>
      <w:tr>
        <w:trPr>
          <w:trHeight w:val="139"/>
        </w:trPr>
        <w:tc>
          <w:tcPr>
            <w:tcW w:w="232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Fractional shares paid out related to</w:t>
            </w:r>
          </w:p>
        </w:tc>
        <w:tc>
          <w:tcPr>
            <w:tcW w:w="84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center"/>
              <w:ind w:left="70"/>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tcPr>
          <w:p>
            <w:pPr>
              <w:spacing w:after="0"/>
              <w:rPr>
                <w:sz w:val="12"/>
                <w:szCs w:val="12"/>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(1)</w:t>
            </w:r>
          </w:p>
        </w:tc>
        <w:tc>
          <w:tcPr>
            <w:tcW w:w="580" w:type="dxa"/>
            <w:vAlign w:val="bottom"/>
            <w:vMerge w:val="restart"/>
          </w:tcPr>
          <w:p>
            <w:pPr>
              <w:jc w:val="center"/>
              <w:ind w:left="290"/>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vMerge w:val="restart"/>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2"/>
                <w:szCs w:val="12"/>
                <w:color w:val="auto"/>
              </w:rPr>
            </w:pPr>
          </w:p>
        </w:tc>
        <w:tc>
          <w:tcPr>
            <w:tcW w:w="860" w:type="dxa"/>
            <w:vAlign w:val="bottom"/>
            <w:vMerge w:val="restart"/>
          </w:tcPr>
          <w:p>
            <w:pPr>
              <w:jc w:val="center"/>
              <w:ind w:left="1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2"/>
                <w:szCs w:val="12"/>
                <w:color w:val="auto"/>
              </w:rPr>
            </w:pPr>
          </w:p>
        </w:tc>
        <w:tc>
          <w:tcPr>
            <w:tcW w:w="920" w:type="dxa"/>
            <w:vAlign w:val="bottom"/>
            <w:vMerge w:val="restart"/>
          </w:tcPr>
          <w:p>
            <w:pPr>
              <w:jc w:val="center"/>
              <w:ind w:left="4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1"/>
        </w:trPr>
        <w:tc>
          <w:tcPr>
            <w:tcW w:w="2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the reverse stock split</w:t>
            </w:r>
          </w:p>
        </w:tc>
        <w:tc>
          <w:tcPr>
            <w:tcW w:w="8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32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Reduction of shares at par value</w:t>
            </w:r>
          </w:p>
        </w:tc>
        <w:tc>
          <w:tcPr>
            <w:tcW w:w="84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(175)</w:t>
            </w:r>
          </w:p>
        </w:tc>
        <w:tc>
          <w:tcPr>
            <w:tcW w:w="26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175</w:t>
            </w:r>
          </w:p>
        </w:tc>
        <w:tc>
          <w:tcPr>
            <w:tcW w:w="580" w:type="dxa"/>
            <w:vAlign w:val="bottom"/>
            <w:vMerge w:val="restart"/>
            <w:shd w:val="clear" w:color="auto" w:fill="CCEEFF"/>
          </w:tcPr>
          <w:p>
            <w:pPr>
              <w:jc w:val="center"/>
              <w:ind w:left="290"/>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center"/>
              <w:ind w:left="1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78"/>
        </w:trPr>
        <w:tc>
          <w:tcPr>
            <w:tcW w:w="2320" w:type="dxa"/>
            <w:vAlign w:val="bottom"/>
            <w:tcBorders>
              <w:bottom w:val="single" w:sz="8" w:color="CCEEFF"/>
            </w:tcBorders>
            <w:shd w:val="clear" w:color="auto" w:fill="CCEEFF"/>
          </w:tcPr>
          <w:p>
            <w:pPr>
              <w:ind w:left="120"/>
              <w:spacing w:after="0" w:line="158" w:lineRule="exact"/>
              <w:rPr>
                <w:sz w:val="20"/>
                <w:szCs w:val="20"/>
                <w:color w:val="auto"/>
              </w:rPr>
            </w:pPr>
            <w:r>
              <w:rPr>
                <w:rFonts w:ascii="Times New Roman" w:cs="Times New Roman" w:eastAsia="Times New Roman" w:hAnsi="Times New Roman"/>
                <w:sz w:val="14"/>
                <w:szCs w:val="14"/>
                <w:color w:val="auto"/>
              </w:rPr>
              <w:t>related to the reverse stock split</w:t>
            </w: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000" w:type="dxa"/>
            <w:vAlign w:val="bottom"/>
            <w:tcBorders>
              <w:bottom w:val="single" w:sz="8" w:color="auto"/>
            </w:tcBorders>
            <w:vMerge w:val="continue"/>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vMerge w:val="continue"/>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vMerge w:val="continue"/>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3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Balance at December 31, 2021</w:t>
            </w:r>
          </w:p>
        </w:tc>
        <w:tc>
          <w:tcPr>
            <w:tcW w:w="840" w:type="dxa"/>
            <w:vAlign w:val="bottom"/>
            <w:tcBorders>
              <w:bottom w:val="single" w:sz="8" w:color="auto"/>
            </w:tcBorders>
          </w:tcPr>
          <w:p>
            <w:pPr>
              <w:jc w:val="center"/>
              <w:ind w:left="29"/>
              <w:spacing w:after="0" w:line="149" w:lineRule="exact"/>
              <w:rPr>
                <w:sz w:val="20"/>
                <w:szCs w:val="20"/>
                <w:color w:val="auto"/>
              </w:rPr>
            </w:pPr>
            <w:r>
              <w:rPr>
                <w:rFonts w:ascii="Times New Roman" w:cs="Times New Roman" w:eastAsia="Times New Roman" w:hAnsi="Times New Roman"/>
                <w:sz w:val="14"/>
                <w:szCs w:val="14"/>
                <w:color w:val="auto"/>
              </w:rPr>
              <w:t>5,216,045</w:t>
            </w:r>
          </w:p>
        </w:tc>
        <w:tc>
          <w:tcPr>
            <w:tcW w:w="1000" w:type="dxa"/>
            <w:vAlign w:val="bottom"/>
            <w:tcBorders>
              <w:bottom w:val="single" w:sz="8" w:color="auto"/>
            </w:tcBorders>
          </w:tcPr>
          <w:p>
            <w:pPr>
              <w:jc w:val="center"/>
              <w:ind w:left="30"/>
              <w:spacing w:after="0" w:line="149" w:lineRule="exact"/>
              <w:rPr>
                <w:sz w:val="20"/>
                <w:szCs w:val="20"/>
                <w:color w:val="auto"/>
              </w:rPr>
            </w:pPr>
            <w:r>
              <w:rPr>
                <w:rFonts w:ascii="Times New Roman" w:cs="Times New Roman" w:eastAsia="Times New Roman" w:hAnsi="Times New Roman"/>
                <w:sz w:val="14"/>
                <w:szCs w:val="14"/>
                <w:color w:val="auto"/>
              </w:rPr>
              <w:t>614,910</w:t>
            </w:r>
          </w:p>
        </w:tc>
        <w:tc>
          <w:tcPr>
            <w:tcW w:w="300" w:type="dxa"/>
            <w:vAlign w:val="bottom"/>
            <w:tcBorders>
              <w:bottom w:val="single" w:sz="8" w:color="auto"/>
            </w:tcBorders>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494,563</w:t>
            </w:r>
          </w:p>
        </w:tc>
        <w:tc>
          <w:tcPr>
            <w:tcW w:w="880" w:type="dxa"/>
            <w:vAlign w:val="bottom"/>
            <w:tcBorders>
              <w:bottom w:val="single" w:sz="8" w:color="auto"/>
            </w:tcBorders>
            <w:gridSpan w:val="2"/>
          </w:tcPr>
          <w:p>
            <w:pPr>
              <w:jc w:val="center"/>
              <w:ind w:left="10"/>
              <w:spacing w:after="0" w:line="149" w:lineRule="exact"/>
              <w:rPr>
                <w:sz w:val="20"/>
                <w:szCs w:val="20"/>
                <w:color w:val="auto"/>
              </w:rPr>
            </w:pPr>
            <w:r>
              <w:rPr>
                <w:rFonts w:ascii="Times New Roman" w:cs="Times New Roman" w:eastAsia="Times New Roman" w:hAnsi="Times New Roman"/>
                <w:sz w:val="14"/>
                <w:szCs w:val="14"/>
                <w:color w:val="auto"/>
              </w:rPr>
              <w:t>(478,465)</w:t>
            </w:r>
          </w:p>
        </w:tc>
        <w:tc>
          <w:tcPr>
            <w:tcW w:w="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(13,443)</w:t>
            </w:r>
          </w:p>
        </w:tc>
        <w:tc>
          <w:tcPr>
            <w:tcW w:w="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center"/>
              <w:ind w:left="10"/>
              <w:spacing w:after="0" w:line="149" w:lineRule="exact"/>
              <w:rPr>
                <w:sz w:val="20"/>
                <w:szCs w:val="20"/>
                <w:color w:val="auto"/>
              </w:rPr>
            </w:pPr>
            <w:r>
              <w:rPr>
                <w:rFonts w:ascii="Times New Roman" w:cs="Times New Roman" w:eastAsia="Times New Roman" w:hAnsi="Times New Roman"/>
                <w:sz w:val="14"/>
                <w:szCs w:val="14"/>
                <w:color w:val="auto"/>
              </w:rPr>
              <w:t>(32,406)</w:t>
            </w:r>
          </w:p>
        </w:tc>
        <w:tc>
          <w:tcPr>
            <w:tcW w:w="1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center"/>
              <w:ind w:left="49"/>
              <w:spacing w:after="0" w:line="149" w:lineRule="exact"/>
              <w:rPr>
                <w:sz w:val="20"/>
                <w:szCs w:val="20"/>
                <w:color w:val="auto"/>
              </w:rPr>
            </w:pPr>
            <w:r>
              <w:rPr>
                <w:rFonts w:ascii="Times New Roman" w:cs="Times New Roman" w:eastAsia="Times New Roman" w:hAnsi="Times New Roman"/>
                <w:sz w:val="14"/>
                <w:szCs w:val="14"/>
                <w:color w:val="auto"/>
              </w:rPr>
              <w:t>(406,195)</w:t>
            </w:r>
          </w:p>
        </w:tc>
        <w:tc>
          <w:tcPr>
            <w:tcW w:w="2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42,577</w:t>
            </w:r>
          </w:p>
        </w:tc>
        <w:tc>
          <w:tcPr>
            <w:tcW w:w="0" w:type="dxa"/>
            <w:vAlign w:val="bottom"/>
          </w:tcPr>
          <w:p>
            <w:pPr>
              <w:spacing w:after="0"/>
              <w:rPr>
                <w:sz w:val="1"/>
                <w:szCs w:val="1"/>
                <w:color w:val="auto"/>
              </w:rPr>
            </w:pPr>
          </w:p>
        </w:tc>
      </w:tr>
      <w:tr>
        <w:trPr>
          <w:trHeight w:val="143"/>
        </w:trPr>
        <w:tc>
          <w:tcPr>
            <w:tcW w:w="2320" w:type="dxa"/>
            <w:vAlign w:val="bottom"/>
            <w:shd w:val="clear" w:color="auto" w:fill="CCEEFF"/>
          </w:tcPr>
          <w:p>
            <w:pPr>
              <w:ind w:left="120"/>
              <w:spacing w:after="0" w:line="143" w:lineRule="exact"/>
              <w:rPr>
                <w:sz w:val="20"/>
                <w:szCs w:val="20"/>
                <w:color w:val="auto"/>
              </w:rPr>
            </w:pPr>
            <w:r>
              <w:rPr>
                <w:rFonts w:ascii="Times New Roman" w:cs="Times New Roman" w:eastAsia="Times New Roman" w:hAnsi="Times New Roman"/>
                <w:sz w:val="14"/>
                <w:szCs w:val="14"/>
                <w:color w:val="auto"/>
              </w:rPr>
              <w:t>Net loss</w:t>
            </w:r>
          </w:p>
        </w:tc>
        <w:tc>
          <w:tcPr>
            <w:tcW w:w="840" w:type="dxa"/>
            <w:vAlign w:val="bottom"/>
            <w:shd w:val="clear" w:color="auto" w:fill="CCEEFF"/>
          </w:tcPr>
          <w:p>
            <w:pPr>
              <w:ind w:left="420"/>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center"/>
              <w:ind w:left="70"/>
              <w:spacing w:after="0" w:line="143" w:lineRule="exact"/>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jc w:val="center"/>
              <w:spacing w:after="0" w:line="143" w:lineRule="exact"/>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jc w:val="center"/>
              <w:spacing w:after="0" w:line="143" w:lineRule="exact"/>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shd w:val="clear" w:color="auto" w:fill="CCEEFF"/>
          </w:tcPr>
          <w:p>
            <w:pPr>
              <w:jc w:val="center"/>
              <w:ind w:left="290"/>
              <w:spacing w:after="0" w:line="143" w:lineRule="exact"/>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center"/>
              <w:ind w:left="9"/>
              <w:spacing w:after="0" w:line="143"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center"/>
              <w:ind w:left="10"/>
              <w:spacing w:after="0" w:line="143"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ind w:left="49"/>
              <w:spacing w:after="0" w:line="143" w:lineRule="exact"/>
              <w:rPr>
                <w:sz w:val="20"/>
                <w:szCs w:val="20"/>
                <w:color w:val="auto"/>
              </w:rPr>
            </w:pPr>
            <w:r>
              <w:rPr>
                <w:rFonts w:ascii="Times New Roman" w:cs="Times New Roman" w:eastAsia="Times New Roman" w:hAnsi="Times New Roman"/>
                <w:sz w:val="14"/>
                <w:szCs w:val="14"/>
                <w:color w:val="auto"/>
                <w:w w:val="97"/>
              </w:rPr>
              <w:t>(9,786)</w:t>
            </w: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3" w:lineRule="exact"/>
              <w:rPr>
                <w:sz w:val="20"/>
                <w:szCs w:val="20"/>
                <w:color w:val="auto"/>
              </w:rPr>
            </w:pPr>
            <w:r>
              <w:rPr>
                <w:rFonts w:ascii="Times New Roman" w:cs="Times New Roman" w:eastAsia="Times New Roman" w:hAnsi="Times New Roman"/>
                <w:sz w:val="14"/>
                <w:szCs w:val="14"/>
                <w:color w:val="auto"/>
              </w:rPr>
              <w:t>(9,786)</w:t>
            </w:r>
          </w:p>
        </w:tc>
        <w:tc>
          <w:tcPr>
            <w:tcW w:w="0" w:type="dxa"/>
            <w:vAlign w:val="bottom"/>
          </w:tcPr>
          <w:p>
            <w:pPr>
              <w:spacing w:after="0"/>
              <w:rPr>
                <w:sz w:val="1"/>
                <w:szCs w:val="1"/>
                <w:color w:val="auto"/>
              </w:rPr>
            </w:pPr>
          </w:p>
        </w:tc>
      </w:tr>
      <w:tr>
        <w:trPr>
          <w:trHeight w:val="162"/>
        </w:trPr>
        <w:tc>
          <w:tcPr>
            <w:tcW w:w="2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center"/>
              <w:ind w:left="70"/>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tcPr>
          <w:p>
            <w:pPr>
              <w:jc w:val="center"/>
              <w:ind w:left="290"/>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4"/>
                <w:szCs w:val="14"/>
                <w:color w:val="auto"/>
              </w:rPr>
            </w:pPr>
          </w:p>
        </w:tc>
        <w:tc>
          <w:tcPr>
            <w:tcW w:w="860" w:type="dxa"/>
            <w:vAlign w:val="bottom"/>
          </w:tcPr>
          <w:p>
            <w:pPr>
              <w:jc w:val="center"/>
              <w:ind w:left="10"/>
              <w:spacing w:after="0"/>
              <w:rPr>
                <w:sz w:val="20"/>
                <w:szCs w:val="20"/>
                <w:color w:val="auto"/>
              </w:rPr>
            </w:pPr>
            <w:r>
              <w:rPr>
                <w:rFonts w:ascii="Times New Roman" w:cs="Times New Roman" w:eastAsia="Times New Roman" w:hAnsi="Times New Roman"/>
                <w:sz w:val="14"/>
                <w:szCs w:val="14"/>
                <w:color w:val="auto"/>
              </w:rPr>
              <w:t>(8,974)</w:t>
            </w:r>
          </w:p>
        </w:tc>
        <w:tc>
          <w:tcPr>
            <w:tcW w:w="160" w:type="dxa"/>
            <w:vAlign w:val="bottom"/>
          </w:tcPr>
          <w:p>
            <w:pPr>
              <w:spacing w:after="0"/>
              <w:rPr>
                <w:sz w:val="14"/>
                <w:szCs w:val="14"/>
                <w:color w:val="auto"/>
              </w:rPr>
            </w:pPr>
          </w:p>
        </w:tc>
        <w:tc>
          <w:tcPr>
            <w:tcW w:w="92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(8,974)</w:t>
            </w:r>
          </w:p>
        </w:tc>
        <w:tc>
          <w:tcPr>
            <w:tcW w:w="0" w:type="dxa"/>
            <w:vAlign w:val="bottom"/>
          </w:tcPr>
          <w:p>
            <w:pPr>
              <w:spacing w:after="0"/>
              <w:rPr>
                <w:sz w:val="1"/>
                <w:szCs w:val="1"/>
                <w:color w:val="auto"/>
              </w:rPr>
            </w:pPr>
          </w:p>
        </w:tc>
      </w:tr>
      <w:tr>
        <w:trPr>
          <w:trHeight w:val="162"/>
        </w:trPr>
        <w:tc>
          <w:tcPr>
            <w:tcW w:w="2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Conversion of Series B to Series A</w:t>
            </w:r>
          </w:p>
        </w:tc>
        <w:tc>
          <w:tcPr>
            <w:tcW w:w="84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192</w:t>
            </w:r>
          </w:p>
        </w:tc>
        <w:tc>
          <w:tcPr>
            <w:tcW w:w="100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rPr>
              <w:t>(192)</w:t>
            </w: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69"/>
        </w:trPr>
        <w:tc>
          <w:tcPr>
            <w:tcW w:w="2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Dividends declared ($2.14 per share)</w:t>
            </w:r>
          </w:p>
        </w:tc>
        <w:tc>
          <w:tcPr>
            <w:tcW w:w="8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left="49"/>
              <w:spacing w:after="0"/>
              <w:rPr>
                <w:sz w:val="20"/>
                <w:szCs w:val="20"/>
                <w:color w:val="auto"/>
              </w:rPr>
            </w:pPr>
            <w:r>
              <w:rPr>
                <w:rFonts w:ascii="Times New Roman" w:cs="Times New Roman" w:eastAsia="Times New Roman" w:hAnsi="Times New Roman"/>
                <w:sz w:val="14"/>
                <w:szCs w:val="14"/>
                <w:color w:val="auto"/>
              </w:rPr>
              <w:t>(11,454)</w:t>
            </w: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(11,454)</w:t>
            </w:r>
          </w:p>
        </w:tc>
        <w:tc>
          <w:tcPr>
            <w:tcW w:w="0" w:type="dxa"/>
            <w:vAlign w:val="bottom"/>
          </w:tcPr>
          <w:p>
            <w:pPr>
              <w:spacing w:after="0"/>
              <w:rPr>
                <w:sz w:val="1"/>
                <w:szCs w:val="1"/>
                <w:color w:val="auto"/>
              </w:rPr>
            </w:pPr>
          </w:p>
        </w:tc>
      </w:tr>
      <w:tr>
        <w:trPr>
          <w:trHeight w:val="162"/>
        </w:trPr>
        <w:tc>
          <w:tcPr>
            <w:tcW w:w="2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840" w:type="dxa"/>
            <w:vAlign w:val="bottom"/>
            <w:tcBorders>
              <w:bottom w:val="single" w:sz="8" w:color="auto"/>
            </w:tcBorders>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5,216,237</w:t>
            </w:r>
          </w:p>
        </w:tc>
        <w:tc>
          <w:tcPr>
            <w:tcW w:w="100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rPr>
              <w:t>614,718</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494,563</w:t>
            </w:r>
          </w:p>
        </w:tc>
        <w:tc>
          <w:tcPr>
            <w:tcW w:w="880" w:type="dxa"/>
            <w:vAlign w:val="bottom"/>
            <w:tcBorders>
              <w:bottom w:val="single" w:sz="8" w:color="auto"/>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4"/>
                <w:szCs w:val="14"/>
                <w:color w:val="auto"/>
              </w:rPr>
              <w:t>(478,465)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(13,443)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4"/>
                <w:szCs w:val="14"/>
                <w:color w:val="auto"/>
              </w:rPr>
              <w:t>(41,380)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rPr>
              <w:t>(427,435)</w:t>
            </w:r>
          </w:p>
        </w:tc>
        <w:tc>
          <w:tcPr>
            <w:tcW w:w="2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12,363</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the accompanying Notes to the Consolidated Financial Statements.</w:t>
      </w:r>
    </w:p>
    <w:p>
      <w:pPr>
        <w:spacing w:after="0" w:line="200" w:lineRule="exact"/>
        <w:rPr>
          <w:sz w:val="20"/>
          <w:szCs w:val="20"/>
          <w:color w:val="auto"/>
        </w:rPr>
      </w:pPr>
    </w:p>
    <w:p>
      <w:pPr>
        <w:spacing w:after="0" w:line="307" w:lineRule="exact"/>
        <w:rPr>
          <w:sz w:val="20"/>
          <w:szCs w:val="20"/>
          <w:color w:val="auto"/>
        </w:rPr>
      </w:pPr>
    </w:p>
    <w:p>
      <w:pPr>
        <w:jc w:val="right"/>
        <w:spacing w:after="0"/>
        <w:tabs>
          <w:tab w:leader="none" w:pos="700" w:val="left"/>
        </w:tabs>
        <w:rPr>
          <w:sz w:val="20"/>
          <w:szCs w:val="20"/>
          <w:color w:val="auto"/>
        </w:rPr>
      </w:pPr>
      <w:r>
        <w:rPr>
          <w:rFonts w:ascii="Times New Roman" w:cs="Times New Roman" w:eastAsia="Times New Roman" w:hAnsi="Times New Roman"/>
          <w:sz w:val="18"/>
          <w:szCs w:val="18"/>
          <w:color w:val="auto"/>
        </w:rPr>
        <w:t>DallasNews Corporation 2022 Annual Report on Form 10-K</w:t>
      </w:r>
      <w:r>
        <w:rPr>
          <w:sz w:val="20"/>
          <w:szCs w:val="20"/>
          <w:color w:val="auto"/>
        </w:rPr>
        <w:tab/>
      </w:r>
      <w:r>
        <w:rPr>
          <w:rFonts w:ascii="Times New Roman" w:cs="Times New Roman" w:eastAsia="Times New Roman" w:hAnsi="Times New Roman"/>
          <w:sz w:val="17"/>
          <w:szCs w:val="17"/>
          <w:b w:val="1"/>
          <w:bCs w:val="1"/>
          <w:color w:val="auto"/>
        </w:rPr>
        <w:t>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221615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9">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DallasNews Corporation and Subsidiaries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Borders>
              <w:top w:val="single" w:sz="8" w:color="auto"/>
              <w:bottom w:val="single" w:sz="8" w:color="auto"/>
            </w:tcBorders>
          </w:tcPr>
          <w:p>
            <w:pPr>
              <w:spacing w:after="0"/>
              <w:rPr>
                <w:sz w:val="17"/>
                <w:szCs w:val="17"/>
                <w:color w:val="auto"/>
              </w:rPr>
            </w:pPr>
          </w:p>
        </w:tc>
        <w:tc>
          <w:tcPr>
            <w:tcW w:w="2660" w:type="dxa"/>
            <w:vAlign w:val="bottom"/>
            <w:tcBorders>
              <w:top w:val="single" w:sz="8" w:color="auto"/>
              <w:bottom w:val="single" w:sz="8" w:color="auto"/>
            </w:tcBorders>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i w:val="1"/>
                <w:iCs w:val="1"/>
                <w:color w:val="auto"/>
              </w:rPr>
              <w:t>Years Ended December 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824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1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i w:val="1"/>
                <w:iCs w:val="1"/>
                <w:color w:val="auto"/>
              </w:rPr>
              <w:t>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4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(9,786)</w:t>
            </w:r>
          </w:p>
        </w:tc>
        <w:tc>
          <w:tcPr>
            <w:tcW w:w="320" w:type="dxa"/>
            <w:vAlign w:val="bottom"/>
          </w:tcPr>
          <w:p>
            <w:pPr>
              <w:jc w:val="right"/>
              <w:ind w:right="1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Adjustments to reconcile net loss to net cash used for operating activities:</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4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2,709</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4,066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Net periodic costs and contributions related to employee benefit plans</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(4,090)</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(4,141)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4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Bad debt expense</w:t>
            </w:r>
          </w:p>
        </w:tc>
        <w:tc>
          <w:tcPr>
            <w:tcW w:w="3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307</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(25)</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(180)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4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Provision, interest and penalties for uncertain tax positions</w:t>
            </w:r>
          </w:p>
        </w:tc>
        <w:tc>
          <w:tcPr>
            <w:tcW w:w="3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Loss on sale/disposal of assets, net</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58</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4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Asset impairments</w:t>
            </w:r>
          </w:p>
        </w:tc>
        <w:tc>
          <w:tcPr>
            <w:tcW w:w="3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Changes in working capital and other operating assets and liabilities:</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4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1,682</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366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Inventories, prepaids and other current assets</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(400)</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1,077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4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388</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(2,780)</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4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Compensation and benefit obligations</w:t>
            </w:r>
          </w:p>
        </w:tc>
        <w:tc>
          <w:tcPr>
            <w:tcW w:w="340" w:type="dxa"/>
            <w:vAlign w:val="bottom"/>
          </w:tcPr>
          <w:p>
            <w:pPr>
              <w:spacing w:after="0"/>
              <w:rPr>
                <w:sz w:val="16"/>
                <w:szCs w:val="16"/>
                <w:color w:val="auto"/>
              </w:rPr>
            </w:pPr>
          </w:p>
        </w:tc>
        <w:tc>
          <w:tcPr>
            <w:tcW w:w="126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(778)</w:t>
            </w:r>
          </w:p>
        </w:tc>
        <w:tc>
          <w:tcPr>
            <w:tcW w:w="3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Other accrued expenses</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(170)</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(1,179)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4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Contract liabilities</w:t>
            </w:r>
          </w:p>
        </w:tc>
        <w:tc>
          <w:tcPr>
            <w:tcW w:w="340" w:type="dxa"/>
            <w:vAlign w:val="bottom"/>
          </w:tcPr>
          <w:p>
            <w:pPr>
              <w:spacing w:after="0"/>
              <w:rPr>
                <w:sz w:val="16"/>
                <w:szCs w:val="16"/>
                <w:color w:val="auto"/>
              </w:rPr>
            </w:pPr>
          </w:p>
        </w:tc>
        <w:tc>
          <w:tcPr>
            <w:tcW w:w="126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(1,088)</w:t>
            </w:r>
          </w:p>
        </w:tc>
        <w:tc>
          <w:tcPr>
            <w:tcW w:w="3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(2,304)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Other post-employment benefits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(71)</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240" w:type="dxa"/>
            <w:vAlign w:val="bottom"/>
            <w:tcBorders>
              <w:top w:val="single" w:sz="8" w:color="CCEEFF"/>
              <w:bottom w:val="single" w:sz="8" w:color="CCEEFF"/>
            </w:tcBorders>
          </w:tcPr>
          <w:p>
            <w:pPr>
              <w:ind w:left="440"/>
              <w:spacing w:after="0" w:line="176" w:lineRule="exact"/>
              <w:rPr>
                <w:sz w:val="20"/>
                <w:szCs w:val="20"/>
                <w:color w:val="auto"/>
              </w:rPr>
            </w:pPr>
            <w:r>
              <w:rPr>
                <w:rFonts w:ascii="Times New Roman" w:cs="Times New Roman" w:eastAsia="Times New Roman" w:hAnsi="Times New Roman"/>
                <w:sz w:val="18"/>
                <w:szCs w:val="18"/>
                <w:color w:val="auto"/>
              </w:rPr>
              <w:t>Net cash used for operating activities</w:t>
            </w: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(13,933)</w:t>
            </w:r>
          </w:p>
        </w:tc>
        <w:tc>
          <w:tcPr>
            <w:tcW w:w="180" w:type="dxa"/>
            <w:vAlign w:val="bottom"/>
            <w:tcBorders>
              <w:top w:val="single" w:sz="8" w:color="CCEEFF"/>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(5,760)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Investing Activities</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4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Purchases of assets</w:t>
            </w:r>
          </w:p>
        </w:tc>
        <w:tc>
          <w:tcPr>
            <w:tcW w:w="340" w:type="dxa"/>
            <w:vAlign w:val="bottom"/>
          </w:tcPr>
          <w:p>
            <w:pPr>
              <w:spacing w:after="0"/>
              <w:rPr>
                <w:sz w:val="16"/>
                <w:szCs w:val="16"/>
                <w:color w:val="auto"/>
              </w:rPr>
            </w:pPr>
          </w:p>
        </w:tc>
        <w:tc>
          <w:tcPr>
            <w:tcW w:w="126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(1,627)</w:t>
            </w:r>
          </w:p>
        </w:tc>
        <w:tc>
          <w:tcPr>
            <w:tcW w:w="3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Sales of assets</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240" w:type="dxa"/>
            <w:vAlign w:val="bottom"/>
            <w:tcBorders>
              <w:bottom w:val="single" w:sz="8" w:color="CCEEFF"/>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 payment received for asset sales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22,400</w:t>
            </w: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240" w:type="dxa"/>
            <w:vAlign w:val="bottom"/>
            <w:tcBorders>
              <w:bottom w:val="single" w:sz="8" w:color="CCEEFF"/>
            </w:tcBorders>
            <w:shd w:val="clear" w:color="auto" w:fill="CCEEFF"/>
          </w:tcPr>
          <w:p>
            <w:pPr>
              <w:ind w:left="440"/>
              <w:spacing w:after="0" w:line="189" w:lineRule="exact"/>
              <w:rPr>
                <w:sz w:val="20"/>
                <w:szCs w:val="20"/>
                <w:color w:val="auto"/>
              </w:rPr>
            </w:pPr>
            <w:r>
              <w:rPr>
                <w:rFonts w:ascii="Times New Roman" w:cs="Times New Roman" w:eastAsia="Times New Roman" w:hAnsi="Times New Roman"/>
                <w:sz w:val="18"/>
                <w:szCs w:val="18"/>
                <w:color w:val="auto"/>
              </w:rPr>
              <w:t>Net cash provided by (used for) investing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20,773</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24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Financing Activities</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Dividends paid</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(11,454)</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(3,425)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24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Fractional share payments related to the reverse stock split</w:t>
            </w:r>
          </w:p>
        </w:tc>
        <w:tc>
          <w:tcPr>
            <w:tcW w:w="340" w:type="dxa"/>
            <w:vAlign w:val="bottom"/>
          </w:tcPr>
          <w:p>
            <w:pPr>
              <w:spacing w:after="0"/>
              <w:rPr>
                <w:sz w:val="17"/>
                <w:szCs w:val="17"/>
                <w:color w:val="auto"/>
              </w:rPr>
            </w:pPr>
          </w:p>
        </w:tc>
        <w:tc>
          <w:tcPr>
            <w:tcW w:w="1260" w:type="dxa"/>
            <w:vAlign w:val="bottom"/>
            <w:gridSpan w:val="2"/>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7"/>
                <w:szCs w:val="17"/>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240" w:type="dxa"/>
            <w:vAlign w:val="bottom"/>
            <w:tcBorders>
              <w:top w:val="single" w:sz="8" w:color="CCEEFF"/>
              <w:bottom w:val="single" w:sz="8" w:color="CCEEFF"/>
            </w:tcBorders>
            <w:shd w:val="clear" w:color="auto" w:fill="CCEEFF"/>
          </w:tcPr>
          <w:p>
            <w:pPr>
              <w:ind w:left="440"/>
              <w:spacing w:after="0" w:line="189" w:lineRule="exact"/>
              <w:rPr>
                <w:sz w:val="20"/>
                <w:szCs w:val="20"/>
                <w:color w:val="auto"/>
              </w:rPr>
            </w:pPr>
            <w:r>
              <w:rPr>
                <w:rFonts w:ascii="Times New Roman" w:cs="Times New Roman" w:eastAsia="Times New Roman" w:hAnsi="Times New Roman"/>
                <w:sz w:val="18"/>
                <w:szCs w:val="18"/>
                <w:color w:val="auto"/>
              </w:rPr>
              <w:t>Net cash used for financing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(11,454)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Net decrease in cash and cash equivalents</w:t>
            </w:r>
          </w:p>
        </w:tc>
        <w:tc>
          <w:tcPr>
            <w:tcW w:w="34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(4,614)</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(9,576)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240" w:type="dxa"/>
            <w:vAlign w:val="bottom"/>
            <w:tcBorders>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32,439</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Cash and cash equivalents, end of period</w:t>
            </w:r>
          </w:p>
        </w:tc>
        <w:tc>
          <w:tcPr>
            <w:tcW w:w="340" w:type="dxa"/>
            <w:vAlign w:val="bottom"/>
            <w:tcBorders>
              <w:bottom w:val="single" w:sz="8" w:color="auto"/>
            </w:tcBorders>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27,825</w:t>
            </w:r>
          </w:p>
        </w:tc>
        <w:tc>
          <w:tcPr>
            <w:tcW w:w="180" w:type="dxa"/>
            <w:vAlign w:val="bottom"/>
          </w:tcPr>
          <w:p>
            <w:pPr>
              <w:spacing w:after="0"/>
              <w:rPr>
                <w:sz w:val="15"/>
                <w:szCs w:val="15"/>
                <w:color w:val="auto"/>
              </w:rPr>
            </w:pPr>
          </w:p>
        </w:tc>
        <w:tc>
          <w:tcPr>
            <w:tcW w:w="320" w:type="dxa"/>
            <w:vAlign w:val="bottom"/>
            <w:tcBorders>
              <w:bottom w:val="single" w:sz="8" w:color="auto"/>
            </w:tcBorders>
          </w:tcPr>
          <w:p>
            <w:pPr>
              <w:jc w:val="right"/>
              <w:ind w:right="156"/>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32,439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the accompanying Notes to the Consolidated Financial Statements.</w:t>
      </w:r>
    </w:p>
    <w:p>
      <w:pPr>
        <w:spacing w:after="0" w:line="200" w:lineRule="exact"/>
        <w:rPr>
          <w:sz w:val="20"/>
          <w:szCs w:val="20"/>
          <w:color w:val="auto"/>
        </w:rPr>
      </w:pPr>
    </w:p>
    <w:p>
      <w:pPr>
        <w:spacing w:after="0" w:line="307" w:lineRule="exact"/>
        <w:rPr>
          <w:sz w:val="20"/>
          <w:szCs w:val="20"/>
          <w:color w:val="auto"/>
        </w:rPr>
      </w:pPr>
    </w:p>
    <w:p>
      <w:pPr>
        <w:jc w:val="right"/>
        <w:spacing w:after="0"/>
        <w:tabs>
          <w:tab w:leader="none" w:pos="700" w:val="left"/>
        </w:tabs>
        <w:rPr>
          <w:sz w:val="20"/>
          <w:szCs w:val="20"/>
          <w:color w:val="auto"/>
        </w:rPr>
      </w:pPr>
      <w:r>
        <w:rPr>
          <w:rFonts w:ascii="Times New Roman" w:cs="Times New Roman" w:eastAsia="Times New Roman" w:hAnsi="Times New Roman"/>
          <w:sz w:val="18"/>
          <w:szCs w:val="18"/>
          <w:color w:val="auto"/>
        </w:rPr>
        <w:t>DallasNews Corporation 2022 Annual Report on Form 10-K</w:t>
      </w:r>
      <w:r>
        <w:rPr>
          <w:sz w:val="20"/>
          <w:szCs w:val="20"/>
          <w:color w:val="auto"/>
        </w:rPr>
        <w:tab/>
      </w:r>
      <w:r>
        <w:rPr>
          <w:rFonts w:ascii="Times New Roman" w:cs="Times New Roman" w:eastAsia="Times New Roman" w:hAnsi="Times New Roman"/>
          <w:sz w:val="17"/>
          <w:szCs w:val="17"/>
          <w:b w:val="1"/>
          <w:bCs w:val="1"/>
          <w:color w:val="auto"/>
        </w:rPr>
        <w:t>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221615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1">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DallasNews Corporation and Subsidiaries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4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 1: Significant Accounting Policies and Recently Issued Accounting Standards</w:t>
      </w:r>
    </w:p>
    <w:p>
      <w:pPr>
        <w:spacing w:after="0" w:line="185" w:lineRule="exact"/>
        <w:rPr>
          <w:sz w:val="20"/>
          <w:szCs w:val="20"/>
          <w:color w:val="auto"/>
        </w:rPr>
      </w:pPr>
    </w:p>
    <w:p>
      <w:pPr>
        <w:ind w:right="420"/>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Description of Business. </w:t>
      </w:r>
      <w:r>
        <w:rPr>
          <w:rFonts w:ascii="Times New Roman" w:cs="Times New Roman" w:eastAsia="Times New Roman" w:hAnsi="Times New Roman"/>
          <w:sz w:val="18"/>
          <w:szCs w:val="18"/>
          <w:color w:val="auto"/>
        </w:rPr>
        <w:t>DallasNews Corporation, formerly A. H. Belo Corporation, and its subsidiaries are referred to collectively herein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“DallasNews” or the “Company.” DallasNews was formed in February 2008 through a spin-off from its former parent company and is registered on The Nasdaq Stock Market LLC (Nasdaq trading symbol: DALN). DallasNews is the Dallas-based holding company of </w:t>
      </w:r>
      <w:r>
        <w:rPr>
          <w:rFonts w:ascii="Times New Roman" w:cs="Times New Roman" w:eastAsia="Times New Roman" w:hAnsi="Times New Roman"/>
          <w:sz w:val="18"/>
          <w:szCs w:val="18"/>
          <w:i w:val="1"/>
          <w:iCs w:val="1"/>
          <w:color w:val="auto"/>
        </w:rPr>
        <w:t>The Dallas Morning News</w:t>
      </w:r>
      <w:r>
        <w:rPr>
          <w:rFonts w:ascii="Times New Roman" w:cs="Times New Roman" w:eastAsia="Times New Roman" w:hAnsi="Times New Roman"/>
          <w:sz w:val="18"/>
          <w:szCs w:val="18"/>
          <w:color w:val="auto"/>
        </w:rPr>
        <w:t xml:space="preserve"> and Medium Giant.</w:t>
      </w:r>
    </w:p>
    <w:p>
      <w:pPr>
        <w:spacing w:after="0" w:line="15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The Company operates </w:t>
      </w:r>
      <w:r>
        <w:rPr>
          <w:rFonts w:ascii="Times New Roman" w:cs="Times New Roman" w:eastAsia="Times New Roman" w:hAnsi="Times New Roman"/>
          <w:sz w:val="18"/>
          <w:szCs w:val="18"/>
          <w:i w:val="1"/>
          <w:iCs w:val="1"/>
          <w:color w:val="auto"/>
        </w:rPr>
        <w:t>The Dallas Morning News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dallasnews.com</w:t>
      </w:r>
      <w:r>
        <w:rPr>
          <w:rFonts w:ascii="Times New Roman" w:cs="Times New Roman" w:eastAsia="Times New Roman" w:hAnsi="Times New Roman"/>
          <w:sz w:val="18"/>
          <w:szCs w:val="18"/>
          <w:color w:val="auto"/>
        </w:rPr>
        <w:t>), Texas’ leading newspaper and winner of nine Pulitzer Prizes, and various niche publications targeting specific audiences. These operations generate revenue from sales of advertising within the Company’s newspaper and digital platforms, subscriptions and retail sales of its newspapers, commercial printing and distribution services primarily related to national newspapers, and preprint advertising.</w:t>
      </w:r>
    </w:p>
    <w:p>
      <w:pPr>
        <w:spacing w:after="0" w:line="160"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In addition, the Company has a full-service agency, Medium Giant, with capabilities including strategy, creative and media management with a focus on strategic and digital marketing, and data intelligence that provide a measurable return on investment to its clients.</w:t>
      </w:r>
    </w:p>
    <w:p>
      <w:pPr>
        <w:spacing w:after="0" w:line="13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Employees. </w:t>
      </w:r>
      <w:r>
        <w:rPr>
          <w:rFonts w:ascii="Times New Roman" w:cs="Times New Roman" w:eastAsia="Times New Roman" w:hAnsi="Times New Roman"/>
          <w:sz w:val="18"/>
          <w:szCs w:val="18"/>
          <w:color w:val="auto"/>
        </w:rPr>
        <w:t>As of December 31, 2022, the Company had 663 employees of which approximately 21 percent were represented by a labor union.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is in the process of finalizing an initial collective bargaining agreement. While there have not been any operational disruptions to date, the Company cannot predict the timing or outcome of these negotiations.</w:t>
      </w:r>
    </w:p>
    <w:p>
      <w:pPr>
        <w:spacing w:after="0" w:line="14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Name Change and Stock Exchange Listing. </w:t>
      </w:r>
      <w:r>
        <w:rPr>
          <w:rFonts w:ascii="Times New Roman" w:cs="Times New Roman" w:eastAsia="Times New Roman" w:hAnsi="Times New Roman"/>
          <w:sz w:val="18"/>
          <w:szCs w:val="18"/>
          <w:color w:val="auto"/>
        </w:rPr>
        <w:t>The Company transferred its stock exchange listing from the New York Stock Exchange (“NYSE”)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Stock Market LLC (“Nasdaq”) and changed its corporate name to DallasNews Corporation. The listing and trading of the Company’s Series A common stock on the NYSE ceased trading at market close on June 28, 2021, and began trading on Nasdaq at market open on June 29, 2021, under the ticker symbol “DALN.”</w:t>
      </w:r>
    </w:p>
    <w:p>
      <w:pPr>
        <w:spacing w:after="0" w:line="15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b w:val="1"/>
          <w:bCs w:val="1"/>
          <w:color w:val="auto"/>
        </w:rPr>
        <w:t xml:space="preserve">Reverse Stock Split. </w:t>
      </w:r>
      <w:r>
        <w:rPr>
          <w:rFonts w:ascii="Times New Roman" w:cs="Times New Roman" w:eastAsia="Times New Roman" w:hAnsi="Times New Roman"/>
          <w:sz w:val="18"/>
          <w:szCs w:val="18"/>
          <w:color w:val="auto"/>
        </w:rPr>
        <w:t>In May, 2021, at the Company’s 2021 annual meeting of shareholders, its shareholders approved a reverse stock split at a ratio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less than one-for-three and not more than one-for-five, with the exact ratio to be determined by the Company’s board of directors. Following the annual meeting, the Company’s board of directors approved a one-for-four reverse stock split of its issued, outstanding and treasury shares of common stock, par value $0.01 per share, which became effective June 8, 2021. As a result, every four shares of the Company’s issued and outstanding Series A common stock and Series B common stock (and any such shares held in treasury) were converted into one share of Series A common stock and Series B common stock, respectively. All fractional shares were settled in cash, in connection with the reverse stock split, on June 9, 2021. The par value of the Series A and Series B common stock was not adjusted as a result of the reverse stock split and the Company reclassified an amount equal to the reduction in the number of Company shares at par value to additional paid-in capital.</w:t>
      </w:r>
    </w:p>
    <w:p>
      <w:pPr>
        <w:spacing w:after="0" w:line="15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color w:val="auto"/>
        </w:rPr>
        <w:t xml:space="preserve">COVID-19 Pandemic. </w:t>
      </w:r>
      <w:r>
        <w:rPr>
          <w:rFonts w:ascii="Times New Roman" w:cs="Times New Roman" w:eastAsia="Times New Roman" w:hAnsi="Times New Roman"/>
          <w:sz w:val="18"/>
          <w:szCs w:val="18"/>
          <w:color w:val="auto"/>
        </w:rPr>
        <w:t>Beginning in early 2020, the COVID-19 pandemic impacted, and may continue to impact, the Company’s customers,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 advertisers, production facilities, and third parties, and could result in additional loss of advertising revenue or supply chain disruption. If the pandemic were to affect a significant number of the workforce employed in printing operations, the Company may experience delays or be unable to produce, print and deliver its publications and other third-party print publications on a timely basis. The Company continues to evaluate for any future material impacts on its consolidated financial statements.</w:t>
      </w:r>
    </w:p>
    <w:p>
      <w:pPr>
        <w:spacing w:after="0" w:line="15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The consolidated financial statements included herein have been prepared in accordance with accounting principles generally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accepted in the United States of America (“GAAP”) and include the accounts of the Company and its majority owned subsidiaries over which the Company exercises control. All intercompany balances and transactions have been eliminated in consolidation. All dollar amounts presented herein, except share and per share amounts, are in thousands, unless the context indicates otherwise.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w:t>
      </w:r>
    </w:p>
    <w:p>
      <w:pPr>
        <w:spacing w:after="0" w:line="20" w:lineRule="exact"/>
        <w:rPr>
          <w:sz w:val="20"/>
          <w:szCs w:val="20"/>
          <w:color w:val="auto"/>
        </w:rPr>
      </w:pPr>
    </w:p>
    <w:p>
      <w:pPr>
        <w:jc w:val="both"/>
        <w:ind w:firstLine="8"/>
        <w:spacing w:after="0" w:line="230" w:lineRule="auto"/>
        <w:tabs>
          <w:tab w:leader="none" w:pos="2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reported amounts of assets and liabilities, (ii) the disclosure of contingent assets and liabilities known to exist as of the date the financial statements are published, and (iii) the reported amount of net operating revenues and expenses recognized during the periods presented. Adjustments made with respect to the use of estimates often relate to improved information not previously available. Uncertainties with respect to such estimates and assumptions are inherent in the preparation of financial statements; accordingly, actual results could differ from these estimates.</w:t>
      </w:r>
    </w:p>
    <w:p>
      <w:pPr>
        <w:spacing w:after="0" w:line="15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212529"/>
        </w:rPr>
        <w:t xml:space="preserve">Areas where estimates are used include valuation allowances for doubtful accounts, fair value measurements, pension plan assets, pension and other post-employment benefit obligation assumptions, income taxes, leases, self-insured liabilities, and </w:t>
      </w:r>
      <w:r>
        <w:rPr>
          <w:rFonts w:ascii="Times New Roman" w:cs="Times New Roman" w:eastAsia="Times New Roman" w:hAnsi="Times New Roman"/>
          <w:sz w:val="18"/>
          <w:szCs w:val="18"/>
          <w:color w:val="000000"/>
        </w:rPr>
        <w:t>assumptions related to</w:t>
      </w:r>
      <w:r>
        <w:rPr>
          <w:rFonts w:ascii="Times New Roman" w:cs="Times New Roman" w:eastAsia="Times New Roman" w:hAnsi="Times New Roman"/>
          <w:sz w:val="18"/>
          <w:szCs w:val="18"/>
          <w:color w:val="212529"/>
        </w:rPr>
        <w:t xml:space="preserve"> long-lived assets impairment review. </w:t>
      </w:r>
      <w:r>
        <w:rPr>
          <w:rFonts w:ascii="Times New Roman" w:cs="Times New Roman" w:eastAsia="Times New Roman" w:hAnsi="Times New Roman"/>
          <w:sz w:val="18"/>
          <w:szCs w:val="18"/>
          <w:color w:val="000000"/>
        </w:rPr>
        <w:t>Estimates are based on past experience and other considerations reasonable under the circumstances. Actual results may differ from these estimates.</w:t>
      </w:r>
    </w:p>
    <w:p>
      <w:pPr>
        <w:spacing w:after="0" w:line="85" w:lineRule="exact"/>
        <w:rPr>
          <w:sz w:val="20"/>
          <w:szCs w:val="20"/>
          <w:color w:val="auto"/>
        </w:rPr>
      </w:pPr>
    </w:p>
    <w:p>
      <w:pPr>
        <w:jc w:val="right"/>
        <w:spacing w:after="0"/>
        <w:tabs>
          <w:tab w:leader="none" w:pos="700" w:val="left"/>
        </w:tabs>
        <w:rPr>
          <w:sz w:val="20"/>
          <w:szCs w:val="20"/>
          <w:color w:val="auto"/>
        </w:rPr>
      </w:pPr>
      <w:r>
        <w:rPr>
          <w:rFonts w:ascii="Times New Roman" w:cs="Times New Roman" w:eastAsia="Times New Roman" w:hAnsi="Times New Roman"/>
          <w:sz w:val="18"/>
          <w:szCs w:val="18"/>
          <w:color w:val="auto"/>
        </w:rPr>
        <w:t>DallasNews Corporation 2022 Annual Report on Form 10-K</w:t>
      </w:r>
      <w:r>
        <w:rPr>
          <w:sz w:val="20"/>
          <w:szCs w:val="20"/>
          <w:color w:val="auto"/>
        </w:rPr>
        <w:tab/>
      </w:r>
      <w:r>
        <w:rPr>
          <w:rFonts w:ascii="Times New Roman" w:cs="Times New Roman" w:eastAsia="Times New Roman" w:hAnsi="Times New Roman"/>
          <w:sz w:val="17"/>
          <w:szCs w:val="17"/>
          <w:b w:val="1"/>
          <w:bCs w:val="1"/>
          <w:color w:val="auto"/>
        </w:rPr>
        <w:t>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3">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6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Segment Presentation. </w:t>
      </w:r>
      <w:r>
        <w:rPr>
          <w:rFonts w:ascii="Times New Roman" w:cs="Times New Roman" w:eastAsia="Times New Roman" w:hAnsi="Times New Roman"/>
          <w:sz w:val="18"/>
          <w:szCs w:val="18"/>
          <w:color w:val="auto"/>
        </w:rPr>
        <w:t>Based on the Company’s structure and organizational chart, the Company’s chief operating decision-maker (the “CODM”) is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Executive Officer, Grant S. Moise. Based on how the Company’s CODM makes decisions about allocating resources and assessing performance, the Company determined it has one reportable segment.</w:t>
      </w:r>
    </w:p>
    <w:p>
      <w:pPr>
        <w:spacing w:after="0" w:line="12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The Company considers all highly liquid instruments purchased with original maturities of three months or less to be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equivalents. The Company places its cash and cash equivalents with high credit quality institutions. The Company has not experienced any losses in such accounts and believes it is not exposed to any significant credit risk on cash and cash equivalents.</w:t>
      </w:r>
    </w:p>
    <w:p>
      <w:pPr>
        <w:spacing w:after="0" w:line="13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Accounts Receivable. </w:t>
      </w:r>
      <w:r>
        <w:rPr>
          <w:rFonts w:ascii="Times New Roman" w:cs="Times New Roman" w:eastAsia="Times New Roman" w:hAnsi="Times New Roman"/>
          <w:sz w:val="18"/>
          <w:szCs w:val="18"/>
          <w:color w:val="auto"/>
        </w:rPr>
        <w:t>Accounts receivable are reported net of a valuation reserve that represents an estimate of amounts considered uncollectible.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estimates the allowance for doubtful accounts based on historical write-off experience and the Company’s knowledge of the customers’ ability to pay amounts due. Accounts are written-off after all collection efforts fail; generally, after one year has expired. Expense for such uncollectible amounts is included in other production, distribution and operating costs. Credit terms are customary. Bad debt expense for 2022 and 2021 was $307 and $184, respectively. Write-offs, net of recoveries and other adjustments for 2022 and 2021 were $367 and $345, respectively.</w:t>
      </w:r>
    </w:p>
    <w:p>
      <w:pPr>
        <w:spacing w:after="0" w:line="15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Risk Concentration. </w:t>
      </w:r>
      <w:r>
        <w:rPr>
          <w:rFonts w:ascii="Times New Roman" w:cs="Times New Roman" w:eastAsia="Times New Roman" w:hAnsi="Times New Roman"/>
          <w:sz w:val="18"/>
          <w:szCs w:val="18"/>
          <w:color w:val="auto"/>
        </w:rPr>
        <w:t>A significant portion of the Company’s customer base is concentrated within the North Texas geographical area.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generally extends credit to customers, and the ultimate collection of accounts receivable could be affected by the national and local economy, which has been impacted by the pandemic. Management continually performs credit evaluations of its customers and may require cash in advance or other special arrangements from certain customers. The Company maintains an allowance for losses based upon the collectability of accounts receivable. Management does not believe significant credit risk exists that could have a material adverse effect on the Company’s consolidated financial condition, liquidity or results of operations.</w:t>
      </w:r>
    </w:p>
    <w:p>
      <w:pPr>
        <w:spacing w:after="0" w:line="15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Notes Receivable. </w:t>
      </w:r>
      <w:r>
        <w:rPr>
          <w:rFonts w:ascii="Times New Roman" w:cs="Times New Roman" w:eastAsia="Times New Roman" w:hAnsi="Times New Roman"/>
          <w:sz w:val="18"/>
          <w:szCs w:val="18"/>
          <w:color w:val="auto"/>
        </w:rPr>
        <w:t>Notes receivable are related to the financed portion of the sale of the Company’s former headquarters, which was paid in full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third quarter of 2022; see </w:t>
      </w:r>
      <w:r>
        <w:rPr>
          <w:rFonts w:ascii="Times New Roman" w:cs="Times New Roman" w:eastAsia="Times New Roman" w:hAnsi="Times New Roman"/>
          <w:sz w:val="18"/>
          <w:szCs w:val="18"/>
          <w:u w:val="single" w:color="auto"/>
          <w:color w:val="0000FF"/>
        </w:rPr>
        <w:t>Note 10 – Disposal of Assets</w:t>
      </w:r>
      <w:r>
        <w:rPr>
          <w:rFonts w:ascii="Times New Roman" w:cs="Times New Roman" w:eastAsia="Times New Roman" w:hAnsi="Times New Roman"/>
          <w:sz w:val="18"/>
          <w:szCs w:val="18"/>
          <w:color w:val="auto"/>
          <w:highlight w:val="white"/>
        </w:rPr>
        <w:t>. Notes receivable are recorded net of an allowance for doubtful accounts. Interest income is accrued</w:t>
      </w:r>
      <w:r>
        <w:rPr>
          <w:rFonts w:ascii="Times New Roman" w:cs="Times New Roman" w:eastAsia="Times New Roman" w:hAnsi="Times New Roman"/>
          <w:sz w:val="18"/>
          <w:szCs w:val="18"/>
          <w:color w:val="auto"/>
        </w:rPr>
        <w:t xml:space="preserve"> on the unpaid principal balance, included in accounts receivable in the Consolidated Balance Sheets. The Company puts notes receivable on non-accrual status and provides an allowance against accrued interest if it is determined the likelihood of collecting substantially all of the note and accrued interest is not probable. Notes are written-off against the allowance when all possible means of collection have been exhausted and the potential for recovery is considered remote. As of December 31, 2021, there was no allowance recorded for the notes receivable or accrued interest receivable.</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Inventories. </w:t>
      </w:r>
      <w:r>
        <w:rPr>
          <w:rFonts w:ascii="Times New Roman" w:cs="Times New Roman" w:eastAsia="Times New Roman" w:hAnsi="Times New Roman"/>
          <w:sz w:val="18"/>
          <w:szCs w:val="18"/>
          <w:color w:val="auto"/>
        </w:rPr>
        <w:t>Inventories, consisting primarily of newsprint, ink and other supplies used in printing newspapers, are recorded at the lower of cost or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realizable value. Cost is determined by the weighted average purchase price of the inventory acquired.</w:t>
      </w:r>
    </w:p>
    <w:p>
      <w:pPr>
        <w:spacing w:after="0" w:line="12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Property, Plant and Equipment. </w:t>
      </w:r>
      <w:r>
        <w:rPr>
          <w:rFonts w:ascii="Times New Roman" w:cs="Times New Roman" w:eastAsia="Times New Roman" w:hAnsi="Times New Roman"/>
          <w:sz w:val="18"/>
          <w:szCs w:val="18"/>
          <w:color w:val="auto"/>
        </w:rPr>
        <w:t>The Company records property, plant and equipment at cost or its fair value if acquired through a business acquisition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non-monetary exchange. Depreciation is recorded on a straight-line basis over the estimated useful lives of the assets and depreciable assets are reviewed to ensure the remaining useful life of the assets continues to be appropriate. An adjustment resulting from a change in the estimated useful life of an asset is recorded to depreciation expense on a prospective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property, plant and equipment by type.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December 31,</w:t>
            </w:r>
          </w:p>
        </w:tc>
        <w:tc>
          <w:tcPr>
            <w:tcW w:w="86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83"/>
        </w:trPr>
        <w:tc>
          <w:tcPr>
            <w:tcW w:w="48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14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i w:val="1"/>
                <w:iCs w:val="1"/>
                <w:color w:val="auto"/>
              </w:rPr>
              <w:t>2021</w:t>
            </w:r>
          </w:p>
        </w:tc>
        <w:tc>
          <w:tcPr>
            <w:tcW w:w="14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Lives</w:t>
            </w:r>
          </w:p>
        </w:tc>
      </w:tr>
      <w:tr>
        <w:trPr>
          <w:trHeight w:val="189"/>
        </w:trPr>
        <w:tc>
          <w:tcPr>
            <w:tcW w:w="48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Land</w:t>
            </w:r>
          </w:p>
        </w:tc>
        <w:tc>
          <w:tcPr>
            <w:tcW w:w="2700" w:type="dxa"/>
            <w:vAlign w:val="bottom"/>
            <w:gridSpan w:val="2"/>
            <w:shd w:val="clear" w:color="auto" w:fill="CCEEFF"/>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1,971</w:t>
            </w: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3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1,971</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89"/>
        </w:trPr>
        <w:tc>
          <w:tcPr>
            <w:tcW w:w="48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Buildings and improvements</w:t>
            </w:r>
          </w:p>
        </w:tc>
        <w:tc>
          <w:tcPr>
            <w:tcW w:w="2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85,714</w:t>
            </w: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85,400</w:t>
            </w:r>
          </w:p>
        </w:tc>
        <w:tc>
          <w:tcPr>
            <w:tcW w:w="140" w:type="dxa"/>
            <w:vAlign w:val="bottom"/>
          </w:tcPr>
          <w:p>
            <w:pPr>
              <w:spacing w:after="0"/>
              <w:rPr>
                <w:sz w:val="16"/>
                <w:szCs w:val="16"/>
                <w:color w:val="auto"/>
              </w:rPr>
            </w:pPr>
          </w:p>
        </w:tc>
        <w:tc>
          <w:tcPr>
            <w:tcW w:w="11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5 - 30 years</w:t>
            </w:r>
          </w:p>
        </w:tc>
      </w:tr>
      <w:tr>
        <w:trPr>
          <w:trHeight w:val="189"/>
        </w:trPr>
        <w:tc>
          <w:tcPr>
            <w:tcW w:w="48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Publishing equipment</w:t>
            </w:r>
          </w:p>
        </w:tc>
        <w:tc>
          <w:tcPr>
            <w:tcW w:w="2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173,646</w:t>
            </w: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173,123</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3 - 20 years</w:t>
            </w:r>
          </w:p>
        </w:tc>
      </w:tr>
      <w:tr>
        <w:trPr>
          <w:trHeight w:val="189"/>
        </w:trPr>
        <w:tc>
          <w:tcPr>
            <w:tcW w:w="48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2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51,336</w:t>
            </w: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51,744</w:t>
            </w:r>
          </w:p>
        </w:tc>
        <w:tc>
          <w:tcPr>
            <w:tcW w:w="140" w:type="dxa"/>
            <w:vAlign w:val="bottom"/>
          </w:tcPr>
          <w:p>
            <w:pPr>
              <w:spacing w:after="0"/>
              <w:rPr>
                <w:sz w:val="16"/>
                <w:szCs w:val="16"/>
                <w:color w:val="auto"/>
              </w:rPr>
            </w:pPr>
          </w:p>
        </w:tc>
        <w:tc>
          <w:tcPr>
            <w:tcW w:w="11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3 - 10 years</w:t>
            </w:r>
          </w:p>
        </w:tc>
      </w:tr>
      <w:tr>
        <w:trPr>
          <w:trHeight w:val="209"/>
        </w:trPr>
        <w:tc>
          <w:tcPr>
            <w:tcW w:w="4880" w:type="dxa"/>
            <w:vAlign w:val="bottom"/>
            <w:tcBorders>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Construction in process</w:t>
            </w:r>
          </w:p>
        </w:tc>
        <w:tc>
          <w:tcPr>
            <w:tcW w:w="24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773</w:t>
            </w:r>
          </w:p>
        </w:tc>
        <w:tc>
          <w:tcPr>
            <w:tcW w:w="1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741</w:t>
            </w: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176"/>
        </w:trPr>
        <w:tc>
          <w:tcPr>
            <w:tcW w:w="48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Total</w:t>
            </w:r>
          </w:p>
        </w:tc>
        <w:tc>
          <w:tcPr>
            <w:tcW w:w="2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313,440</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312,979</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9"/>
        </w:trPr>
        <w:tc>
          <w:tcPr>
            <w:tcW w:w="48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Less accumulated depreciation</w:t>
            </w:r>
          </w:p>
        </w:tc>
        <w:tc>
          <w:tcPr>
            <w:tcW w:w="2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(306,002)</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(304,157)</w:t>
            </w:r>
          </w:p>
        </w:tc>
        <w:tc>
          <w:tcPr>
            <w:tcW w:w="1120" w:type="dxa"/>
            <w:vAlign w:val="bottom"/>
            <w:shd w:val="clear" w:color="auto" w:fill="CCEEFF"/>
          </w:tcPr>
          <w:p>
            <w:pPr>
              <w:spacing w:after="0"/>
              <w:rPr>
                <w:sz w:val="18"/>
                <w:szCs w:val="18"/>
                <w:color w:val="auto"/>
              </w:rPr>
            </w:pPr>
          </w:p>
        </w:tc>
      </w:tr>
      <w:tr>
        <w:trPr>
          <w:trHeight w:val="176"/>
        </w:trPr>
        <w:tc>
          <w:tcPr>
            <w:tcW w:w="48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Property, plant and equipment, net</w:t>
            </w:r>
          </w:p>
        </w:tc>
        <w:tc>
          <w:tcPr>
            <w:tcW w:w="2400" w:type="dxa"/>
            <w:vAlign w:val="bottom"/>
            <w:tcBorders>
              <w:top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7,438</w:t>
            </w:r>
          </w:p>
        </w:tc>
        <w:tc>
          <w:tcPr>
            <w:tcW w:w="140" w:type="dxa"/>
            <w:vAlign w:val="bottom"/>
            <w:tcBorders>
              <w:top w:val="single" w:sz="8" w:color="CCEEFF"/>
            </w:tcBorders>
          </w:tcPr>
          <w:p>
            <w:pPr>
              <w:spacing w:after="0"/>
              <w:rPr>
                <w:sz w:val="15"/>
                <w:szCs w:val="15"/>
                <w:color w:val="auto"/>
              </w:rPr>
            </w:pPr>
          </w:p>
        </w:tc>
        <w:tc>
          <w:tcPr>
            <w:tcW w:w="420" w:type="dxa"/>
            <w:vAlign w:val="bottom"/>
            <w:tcBorders>
              <w:top w:val="single" w:sz="8" w:color="auto"/>
              <w:bottom w:val="single" w:sz="8" w:color="auto"/>
            </w:tcBorders>
          </w:tcPr>
          <w:p>
            <w:pPr>
              <w:jc w:val="right"/>
              <w:ind w:right="23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8,822</w:t>
            </w:r>
          </w:p>
        </w:tc>
        <w:tc>
          <w:tcPr>
            <w:tcW w:w="14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spacing w:after="0"/>
              <w:rPr>
                <w:sz w:val="15"/>
                <w:szCs w:val="15"/>
                <w:color w:val="auto"/>
              </w:rPr>
            </w:pPr>
          </w:p>
        </w:tc>
      </w:tr>
      <w:tr>
        <w:trPr>
          <w:trHeight w:val="20"/>
        </w:trPr>
        <w:tc>
          <w:tcPr>
            <w:tcW w:w="4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color w:val="auto"/>
        </w:rPr>
        <w:t xml:space="preserve">Long-Lived Assets. </w:t>
      </w:r>
      <w:r>
        <w:rPr>
          <w:rFonts w:ascii="Times New Roman" w:cs="Times New Roman" w:eastAsia="Times New Roman" w:hAnsi="Times New Roman"/>
          <w:sz w:val="18"/>
          <w:szCs w:val="18"/>
          <w:color w:val="auto"/>
        </w:rPr>
        <w:t>The Company evaluates its ability to recover the carrying value of property, plant and equipment and finite-lived intangible 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using the lowest level of separately identifiable cash flows associated with the assets, which are grouped based on the Company’s intended use of these assets. This evaluation is performed whenever a change in circumstances indicates that the carrying value of an asset group may not be recoverable. If the analysis of undiscounted future cash flows indicates the carrying value of the long-lived assets cannot be recovered, the assets are adjusted to the lower of its carrying value or fair value.</w:t>
      </w:r>
    </w:p>
    <w:p>
      <w:pPr>
        <w:spacing w:after="0" w:line="200" w:lineRule="exact"/>
        <w:rPr>
          <w:sz w:val="20"/>
          <w:szCs w:val="20"/>
          <w:color w:val="auto"/>
        </w:rPr>
      </w:pPr>
    </w:p>
    <w:p>
      <w:pPr>
        <w:spacing w:after="0" w:line="281" w:lineRule="exact"/>
        <w:rPr>
          <w:sz w:val="20"/>
          <w:szCs w:val="20"/>
          <w:color w:val="auto"/>
        </w:rPr>
      </w:pPr>
    </w:p>
    <w:p>
      <w:pPr>
        <w:jc w:val="right"/>
        <w:spacing w:after="0"/>
        <w:tabs>
          <w:tab w:leader="none" w:pos="700" w:val="left"/>
        </w:tabs>
        <w:rPr>
          <w:sz w:val="20"/>
          <w:szCs w:val="20"/>
          <w:color w:val="auto"/>
        </w:rPr>
      </w:pPr>
      <w:r>
        <w:rPr>
          <w:rFonts w:ascii="Times New Roman" w:cs="Times New Roman" w:eastAsia="Times New Roman" w:hAnsi="Times New Roman"/>
          <w:sz w:val="18"/>
          <w:szCs w:val="18"/>
          <w:color w:val="auto"/>
        </w:rPr>
        <w:t>DallasNews Corporation 2022 Annual Report on Form 10-K</w:t>
      </w:r>
      <w:r>
        <w:rPr>
          <w:sz w:val="20"/>
          <w:szCs w:val="20"/>
          <w:color w:val="auto"/>
        </w:rPr>
        <w:tab/>
      </w:r>
      <w:r>
        <w:rPr>
          <w:rFonts w:ascii="Times New Roman" w:cs="Times New Roman" w:eastAsia="Times New Roman" w:hAnsi="Times New Roman"/>
          <w:sz w:val="17"/>
          <w:szCs w:val="17"/>
          <w:b w:val="1"/>
          <w:bCs w:val="1"/>
          <w:color w:val="auto"/>
        </w:rPr>
        <w:t>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 xml:space="preserve">During the year ended December 31, 2022, the Company performed a review of potential impairment indicators for its long-lived assets, including property, plant and equipment, and right-of-use assets. The Company determined there was no significant decrease in the market value of the long-lived assets or significant change in the extent or manner in which the asset group is being used or in its physical condition as of December 31, 2022, and there was no significant adverse change in legal factors or in the business climate during the period that could affect the value of the asset group. Based upon the review of indicators, the Company did not identify any events or changes in circumstances that indicate the carrying amount of long-lived assets may not be recoverable. </w:t>
      </w:r>
      <w:r>
        <w:rPr>
          <w:rFonts w:ascii="Times New Roman" w:cs="Times New Roman" w:eastAsia="Times New Roman" w:hAnsi="Times New Roman"/>
          <w:sz w:val="18"/>
          <w:szCs w:val="18"/>
          <w:color w:val="212529"/>
        </w:rPr>
        <w:t>See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Note 3 – Leases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for information on right-of-use asset impairments occurring in 2022 and 2021.</w:t>
      </w:r>
    </w:p>
    <w:p>
      <w:pPr>
        <w:spacing w:after="0" w:line="19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Investments. </w:t>
      </w:r>
      <w:r>
        <w:rPr>
          <w:rFonts w:ascii="Times New Roman" w:cs="Times New Roman" w:eastAsia="Times New Roman" w:hAnsi="Times New Roman"/>
          <w:sz w:val="18"/>
          <w:szCs w:val="18"/>
          <w:color w:val="auto"/>
        </w:rPr>
        <w:t>The Company owns certain equity securities in companies in which it does not exercise control. These investments are recorded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 method with a balance of $1,432 at December 31, 2022 and 2021, and the Company recognizes income or loss upon the receipt of dividends or distributions, or upon liquidation of the investment. The Company evaluates its ability to recover the carrying value of cost method investments based upon operating results and the financial strength of the investee. If the Company determines the carrying value is not recoverable, an impairment charge is recorded for the difference between the fair value of the investment and the carrying value.</w:t>
      </w:r>
    </w:p>
    <w:p>
      <w:pPr>
        <w:spacing w:after="0" w:line="15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b w:val="1"/>
          <w:bCs w:val="1"/>
          <w:color w:val="auto"/>
        </w:rPr>
        <w:t xml:space="preserve">Pension. </w:t>
      </w:r>
      <w:r>
        <w:rPr>
          <w:rFonts w:ascii="Times New Roman" w:cs="Times New Roman" w:eastAsia="Times New Roman" w:hAnsi="Times New Roman"/>
          <w:sz w:val="18"/>
          <w:szCs w:val="18"/>
          <w:color w:val="auto"/>
        </w:rPr>
        <w:t>The Company follows accounting guidance for single-employer defined benefit plans. Plan assets and the projected benefit obligation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measured each December 31, and the Company records as an asset or liability the net funded position of the plans. Certain changes in actuarial valuations related to returns on plan assets and projected benefit obligations are recorded to accumulated other comprehensive income (loss) and are amortized to net periodic pension expense (benefit) over the weighted average remaining life of plan participants, to the extent the cumulative balance in accumulated other comprehensive income (loss) exceeds 10 percent of the greater of the respective plan’s (a) projected benefit obligation or (b) the market-related value of the plan’s assets. Net periodic pension expense (benefit) is recognized each period by accruing interest expense on the projected benefit obligation and accruing a return on assets associated with the plan assets. Participation in and accrual of new benefits to participants has been frozen since 2007 and, accordingly, on-going service costs are not a component of net periodic pension expense (benefit). From time to time, the Company-sponsored plans may settle pension obligations with certain plan participants through the plans’ master trust as part of its de-risking strategies. The gains or losses associated with settlements of plan obligations to participants are recognized to earnings if such settlements exceed the interest component of net periodic pension cost for the year. Otherwise, such amounts are included in actuarial gains (losses) in accumulated other comprehensive income (loss). Re-measurement of plan assets and liabilities upon a significant settlement or curtailment event is performed based on the values of the month-end closest to the event.</w:t>
      </w:r>
    </w:p>
    <w:p>
      <w:pPr>
        <w:spacing w:after="0" w:line="15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b w:val="1"/>
          <w:bCs w:val="1"/>
          <w:color w:val="auto"/>
        </w:rPr>
        <w:t xml:space="preserve">Long-Term Incentive Plan. </w:t>
      </w:r>
      <w:r>
        <w:rPr>
          <w:rFonts w:ascii="Times New Roman" w:cs="Times New Roman" w:eastAsia="Times New Roman" w:hAnsi="Times New Roman"/>
          <w:sz w:val="18"/>
          <w:szCs w:val="18"/>
          <w:color w:val="auto"/>
        </w:rPr>
        <w:t>The Company sponsored a long-term incentive plan (the “Plan”) under which it issued restricted stock units (“RSUs”)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awards to directors and certain employees of the Company. Due to the expiration of the Plan in February 2018, DallasNews implemented, and shareholders approved, a new long-term incentive plan (the “2017 Plan”) under which 1,000,000 shares of the Company’s Series A and Series B common stock are authorized and remain available for equity-based awards. The authorized shares were adjusted in connection with the reverse stock split on June 8, 2021, discussed above. Like its predecessor plan, awards under the 2017 Plan may be granted to DallasNews employees and outside directors in the form of non-qualified stock options, incentive stock options, restricted share awards, RSUs, performance shares, performance units or stock appreciation rights.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and 2021, there were no stock-based awards outstanding.</w:t>
      </w:r>
    </w:p>
    <w:p>
      <w:pPr>
        <w:spacing w:after="0" w:line="16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Shareholders’ Equity. </w:t>
      </w:r>
      <w:r>
        <w:rPr>
          <w:rFonts w:ascii="Times New Roman" w:cs="Times New Roman" w:eastAsia="Times New Roman" w:hAnsi="Times New Roman"/>
          <w:sz w:val="18"/>
          <w:szCs w:val="18"/>
          <w:color w:val="auto"/>
        </w:rPr>
        <w:t>The Company authorized the issuance of shares of Series A and Series B common stock. Series A common stock has one vote 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and Series B common stock has 10 votes per share. Shares of Series B common stock are convertible at any time on a share-for-share basis into shares of Series A common stock, but not vice versa.</w:t>
      </w:r>
    </w:p>
    <w:p>
      <w:pPr>
        <w:spacing w:after="0" w:line="14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Company is authorized to grant stock option and RSU awards to employees and directors of the Company. Upon vesting of RSUs, shares of Series A common stock are issued. Upon the exercise of stock options, Series A common stock is issued if the holder of the stock options executes a simultaneous exercise and sale. If the holder of the stock option chooses not to sell the shares, Series B common stock is issued.</w:t>
      </w:r>
    </w:p>
    <w:p>
      <w:pPr>
        <w:spacing w:after="0" w:line="14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2012, the Company’s board of directors authorized the purchase of the DallasNews Series A or Series B common stock, for use other than retirement, through open market purchases, privately negotiated transactions or otherwise. Treasury stock acquired under the repurchase program is recorded at cost, reducing shareholders’ equity. The acquired shares are available for sale on the open market or for settlement of obligations related to future stock-based awards, if granted.</w:t>
      </w:r>
    </w:p>
    <w:p>
      <w:pPr>
        <w:spacing w:after="0" w:line="14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Accumulated other comprehensive loss consists of actuarial gains and losses associated with the DallasNews Pension Plans (the “Pension Plans”), formerly the A. H. Belo Pension Plans, and other post-employment benefit (the “OPEB”) plans. The cumulative balances are amortized to earnings over the weighted average remaining life expectancy of the participants to the extent such balances exceed 10 percent of the greater of the respective plan’s</w:t>
      </w:r>
    </w:p>
    <w:p>
      <w:pPr>
        <w:ind w:firstLine="8"/>
        <w:spacing w:after="0" w:line="243" w:lineRule="auto"/>
        <w:tabs>
          <w:tab w:leader="none" w:pos="25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projected benefit obligation or (b) the market-related value of the plan’s assets. The Company discloses amounts reclassified from accumulated other comprehensive loss to net income (loss) in </w:t>
      </w:r>
      <w:r>
        <w:rPr>
          <w:rFonts w:ascii="Times New Roman" w:cs="Times New Roman" w:eastAsia="Times New Roman" w:hAnsi="Times New Roman"/>
          <w:sz w:val="18"/>
          <w:szCs w:val="18"/>
          <w:u w:val="single" w:color="auto"/>
          <w:color w:val="0000FF"/>
        </w:rPr>
        <w:t>Note 6 - Shareholders' Equity</w:t>
      </w:r>
      <w:r>
        <w:rPr>
          <w:rFonts w:ascii="Times New Roman" w:cs="Times New Roman" w:eastAsia="Times New Roman" w:hAnsi="Times New Roman"/>
          <w:sz w:val="18"/>
          <w:szCs w:val="18"/>
          <w:color w:val="auto"/>
        </w:rPr>
        <w:t>.</w:t>
      </w:r>
    </w:p>
    <w:p>
      <w:pPr>
        <w:spacing w:after="0" w:line="272" w:lineRule="exact"/>
        <w:rPr>
          <w:sz w:val="20"/>
          <w:szCs w:val="20"/>
          <w:color w:val="auto"/>
        </w:rPr>
      </w:pPr>
    </w:p>
    <w:p>
      <w:pPr>
        <w:ind w:left="5860"/>
        <w:spacing w:after="0"/>
        <w:tabs>
          <w:tab w:leader="none" w:pos="10500" w:val="left"/>
        </w:tabs>
        <w:rPr>
          <w:sz w:val="20"/>
          <w:szCs w:val="20"/>
          <w:color w:val="auto"/>
        </w:rPr>
      </w:pPr>
      <w:r>
        <w:rPr>
          <w:rFonts w:ascii="Times New Roman" w:cs="Times New Roman" w:eastAsia="Times New Roman" w:hAnsi="Times New Roman"/>
          <w:sz w:val="18"/>
          <w:szCs w:val="18"/>
          <w:color w:val="auto"/>
        </w:rPr>
        <w:t>DallasNews Corporation 2022 Annual Report on Form 10-K</w:t>
      </w:r>
      <w:r>
        <w:rPr>
          <w:sz w:val="20"/>
          <w:szCs w:val="20"/>
          <w:color w:val="auto"/>
        </w:rPr>
        <w:tab/>
      </w:r>
      <w:r>
        <w:rPr>
          <w:rFonts w:ascii="Times New Roman" w:cs="Times New Roman" w:eastAsia="Times New Roman" w:hAnsi="Times New Roman"/>
          <w:sz w:val="17"/>
          <w:szCs w:val="17"/>
          <w:b w:val="1"/>
          <w:bCs w:val="1"/>
          <w:color w:val="auto"/>
        </w:rPr>
        <w:t>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The Company’s principal sources of revenue are sales of advertising within its newspaper and digital platforms, subscription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retail sales of its newspapers, commercial printing and distribution services, primarily related to national newspapers, and preprint advertising. In addition, revenue includes strategic marketing management, consulting, creative services, targeted and multi-channel (programmatic) advertising placed on third-party websites, social media management, search optimization, direct mail and the sale of promotional materials.</w:t>
      </w:r>
    </w:p>
    <w:p>
      <w:pPr>
        <w:spacing w:after="0" w:line="15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 xml:space="preserve">Revenue is recognized when obligations under the terms of a contract with our customer are satisfied. This occurs when control of the promised goods or services is transferred to our customers, in an amount that reflects the consideration the Company expects to be entitled to in exchange for those goods or services, typically at contract price or determined by stand-alone selling price. The Company has an estimated allowance for credits, refunds and similar obligations. Sales tax collected concurrent with revenue-producing activities are excluded from revenue. See </w:t>
      </w:r>
      <w:r>
        <w:rPr>
          <w:rFonts w:ascii="Times New Roman" w:cs="Times New Roman" w:eastAsia="Times New Roman" w:hAnsi="Times New Roman"/>
          <w:sz w:val="18"/>
          <w:szCs w:val="18"/>
          <w:u w:val="single" w:color="auto"/>
          <w:color w:val="0000FF"/>
        </w:rPr>
        <w:t>Note 2 – Revenue</w:t>
      </w:r>
      <w:r>
        <w:rPr>
          <w:rFonts w:ascii="Times New Roman" w:cs="Times New Roman" w:eastAsia="Times New Roman" w:hAnsi="Times New Roman"/>
          <w:sz w:val="18"/>
          <w:szCs w:val="18"/>
          <w:color w:val="auto"/>
        </w:rPr>
        <w:t xml:space="preserve"> for disaggregated revenue by source and additional information.</w:t>
      </w:r>
    </w:p>
    <w:p>
      <w:pPr>
        <w:spacing w:after="0" w:line="15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The Company determines if a contract is a lease at the inception of the arrangement. Operating lease right-of-use assets and liabilities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recognized at commencement date of lease agreements greater than one year based on the present value of lease payments over the lease term. In determining the present value of lease payments, the implicit rate was not readily determinable in the Company’s lease agreements. Therefore, the Company used an estimated secured incremental borrowing rate, based on the Company’s credit rating, adjusted for the weighted average term of each lease. Lease expense is recognized on a straight-line basis over the lease term and variable lease costs are expensed as incurred. For leases with terms of 12 months or less, no asset or liability is recorded and lease expense is recognized on a straight-line basis over the lease term. The exercise of lease renewal options are at the Company’s sole discretion and options are recognized when it is reasonably certain the Company will exercise the option. The recognized right-of-use assets and lease liabilities as calculated do not assume renewal options. The Company does not have lease agreements with residual value guarantees, sale leaseback terms or material restrictive covenants. Additionally, the Company does not separately identify lease and nonlease components, such as maintenance costs.</w:t>
      </w:r>
    </w:p>
    <w:p>
      <w:pPr>
        <w:spacing w:after="0" w:line="12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The Company uses the asset and liability method of accounting for income taxes and recognizes deferred tax assets and liabilities based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difference between the financial statement and tax basis of assets and liabilities using enacted tax rates. The Company establishes a valuation allowance if it is more-likely-than-not that the deferred tax assets will not be realized. The factors used to assess the likelihood of realization of the deferred tax assets include future reversal of deferred tax liabilities, available tax planning strategies, future taxable income and taxable income in prior carryback years.</w:t>
      </w:r>
    </w:p>
    <w:p>
      <w:pPr>
        <w:spacing w:after="0" w:line="145"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The Company evaluates any uncertain tax positions each reporting period by tax jurisdiction to determine if it is more-likely-than-not that the tax position will not be sustained on examination by the taxing authorities, based on the technical merits of the position. The tax benefits recognized in the financial statements for such positions are measured based on the largest benefit that has a greater than 50 percent likelihood of being realized upon ultimate settlement. If a net operating loss or other tax credit carry forward exists, the Company records the unrecognized tax benefits for such tax positions as a reduction to a deferred tax asset. Otherwise, the unrecognized tax benefits are recorded as a liability. The Company records a liability for uncertain tax positions taken or expected to be taken in a tax return. Any change in judgment related to the expected ultimate resolution of uncertain tax positions is recognized in earnings in the period in which such change occurs. Interest and penalties, if any, related to unrecognized tax benefits are recorded in other income (loss), net.</w:t>
      </w:r>
    </w:p>
    <w:p>
      <w:pPr>
        <w:spacing w:after="0" w:line="1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Fair Value Measurements. </w:t>
      </w:r>
      <w:r>
        <w:rPr>
          <w:rFonts w:ascii="Times New Roman" w:cs="Times New Roman" w:eastAsia="Times New Roman" w:hAnsi="Times New Roman"/>
          <w:sz w:val="18"/>
          <w:szCs w:val="18"/>
          <w:color w:val="auto"/>
        </w:rPr>
        <w:t>The Company’s financial instruments, including cash, cash equivalents, accounts receivable, interest receivable, accounts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and amounts due to customers are carried at cost, which approximates its fair value because of the short-term nature of these instruments.</w:t>
      </w:r>
    </w:p>
    <w:p>
      <w:pPr>
        <w:spacing w:after="0" w:line="14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New Accounting Pronouncements. </w:t>
      </w:r>
      <w:r>
        <w:rPr>
          <w:rFonts w:ascii="Times New Roman" w:cs="Times New Roman" w:eastAsia="Times New Roman" w:hAnsi="Times New Roman"/>
          <w:sz w:val="18"/>
          <w:szCs w:val="18"/>
          <w:color w:val="auto"/>
        </w:rPr>
        <w:t>The Financial Accounting Standards Board (“FASB”) issued the following accounting pronouncements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guidance, which may be applicable to the Company but have not yet become effective.</w:t>
      </w:r>
    </w:p>
    <w:p>
      <w:pPr>
        <w:spacing w:after="0" w:line="14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 xml:space="preserve">In June 2016, the FASB issued Accounting Standards Update (“ASU”) 2016-13 – </w:t>
      </w:r>
      <w:r>
        <w:rPr>
          <w:rFonts w:ascii="Times New Roman" w:cs="Times New Roman" w:eastAsia="Times New Roman" w:hAnsi="Times New Roman"/>
          <w:sz w:val="18"/>
          <w:szCs w:val="18"/>
          <w:i w:val="1"/>
          <w:iCs w:val="1"/>
          <w:color w:val="auto"/>
        </w:rPr>
        <w:t>Financial Instruments – Credit Losses (Topic 326): Measurement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Credit Losses on Financial Instruments. </w:t>
      </w:r>
      <w:r>
        <w:rPr>
          <w:rFonts w:ascii="Times New Roman" w:cs="Times New Roman" w:eastAsia="Times New Roman" w:hAnsi="Times New Roman"/>
          <w:sz w:val="18"/>
          <w:szCs w:val="18"/>
          <w:color w:val="auto"/>
        </w:rPr>
        <w:t>This update requires financial assets measured at amortized cost basis to be presented at the net amount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be collected. The measurement of expected credit losses is based on relevant information about past events, including historical experience, current conditions, and reasonable and supportable forecasts that affect the collectibility of the reported amount. Since June 2016, the FASB issued clarifying updates to the new standard including changing the effective date for smaller reporting companies. The guidance will be effective for fiscal years beginning after December 15, 2022, and interim periods within those fiscal years. Early adoption is permitted. The Company will adopt this ASU on January 1, 2023, using the modified retrospective approach and does not expect a material impact </w:t>
      </w:r>
      <w:r>
        <w:rPr>
          <w:rFonts w:ascii="Times New Roman" w:cs="Times New Roman" w:eastAsia="Times New Roman" w:hAnsi="Times New Roman"/>
          <w:sz w:val="18"/>
          <w:szCs w:val="18"/>
          <w:color w:val="222222"/>
        </w:rPr>
        <w:t>on its consolidated financial statements.</w:t>
      </w:r>
    </w:p>
    <w:p>
      <w:pPr>
        <w:spacing w:after="0" w:line="200" w:lineRule="exact"/>
        <w:rPr>
          <w:sz w:val="20"/>
          <w:szCs w:val="20"/>
          <w:color w:val="auto"/>
        </w:rPr>
      </w:pPr>
    </w:p>
    <w:p>
      <w:pPr>
        <w:spacing w:after="0" w:line="280" w:lineRule="exact"/>
        <w:rPr>
          <w:sz w:val="20"/>
          <w:szCs w:val="20"/>
          <w:color w:val="auto"/>
        </w:rPr>
      </w:pPr>
    </w:p>
    <w:p>
      <w:pPr>
        <w:jc w:val="right"/>
        <w:spacing w:after="0"/>
        <w:tabs>
          <w:tab w:leader="none" w:pos="700" w:val="left"/>
        </w:tabs>
        <w:rPr>
          <w:sz w:val="20"/>
          <w:szCs w:val="20"/>
          <w:color w:val="auto"/>
        </w:rPr>
      </w:pPr>
      <w:r>
        <w:rPr>
          <w:rFonts w:ascii="Times New Roman" w:cs="Times New Roman" w:eastAsia="Times New Roman" w:hAnsi="Times New Roman"/>
          <w:sz w:val="18"/>
          <w:szCs w:val="18"/>
          <w:color w:val="auto"/>
        </w:rPr>
        <w:t>DallasNews Corporation 2022 Annual Report on Form 10-K</w:t>
      </w:r>
      <w:r>
        <w:rPr>
          <w:sz w:val="20"/>
          <w:szCs w:val="20"/>
          <w:color w:val="auto"/>
        </w:rPr>
        <w:tab/>
      </w:r>
      <w:r>
        <w:rPr>
          <w:rFonts w:ascii="Times New Roman" w:cs="Times New Roman" w:eastAsia="Times New Roman" w:hAnsi="Times New Roman"/>
          <w:sz w:val="17"/>
          <w:szCs w:val="17"/>
          <w:b w:val="1"/>
          <w:bCs w:val="1"/>
          <w:color w:val="auto"/>
        </w:rPr>
        <w:t>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221615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2: Revenue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revenue disaggregated by revenue source.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380" w:type="dxa"/>
            <w:vAlign w:val="bottom"/>
            <w:tcBorders>
              <w:top w:val="single" w:sz="8" w:color="auto"/>
              <w:bottom w:val="single" w:sz="8" w:color="auto"/>
            </w:tcBorders>
          </w:tcPr>
          <w:p>
            <w:pPr>
              <w:spacing w:after="0"/>
              <w:rPr>
                <w:sz w:val="17"/>
                <w:szCs w:val="17"/>
                <w:color w:val="auto"/>
              </w:rPr>
            </w:pPr>
          </w:p>
        </w:tc>
        <w:tc>
          <w:tcPr>
            <w:tcW w:w="1880" w:type="dxa"/>
            <w:vAlign w:val="bottom"/>
            <w:tcBorders>
              <w:top w:val="single" w:sz="8" w:color="auto"/>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i w:val="1"/>
                <w:iCs w:val="1"/>
                <w:color w:val="auto"/>
              </w:rPr>
              <w:t>Years Ended December 31,</w:t>
            </w:r>
          </w:p>
        </w:tc>
        <w:tc>
          <w:tcPr>
            <w:tcW w:w="138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8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78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852"/>
              <w:spacing w:after="0"/>
              <w:rPr>
                <w:sz w:val="20"/>
                <w:szCs w:val="20"/>
                <w:color w:val="auto"/>
              </w:rPr>
            </w:pPr>
            <w:r>
              <w:rPr>
                <w:rFonts w:ascii="Times New Roman" w:cs="Times New Roman" w:eastAsia="Times New Roman" w:hAnsi="Times New Roman"/>
                <w:sz w:val="14"/>
                <w:szCs w:val="14"/>
                <w:b w:val="1"/>
                <w:bCs w:val="1"/>
                <w:i w:val="1"/>
                <w:iCs w:val="1"/>
                <w:color w:val="auto"/>
              </w:rPr>
              <w:t>2021</w:t>
            </w: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Advertising and Marketing Services</w:t>
            </w:r>
          </w:p>
        </w:tc>
        <w:tc>
          <w:tcPr>
            <w:tcW w:w="17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Print advertising</w:t>
            </w:r>
          </w:p>
        </w:tc>
        <w:tc>
          <w:tcPr>
            <w:tcW w:w="3100" w:type="dxa"/>
            <w:vAlign w:val="bottom"/>
            <w:gridSpan w:val="2"/>
          </w:tcPr>
          <w:p>
            <w:pPr>
              <w:jc w:val="right"/>
              <w:ind w:right="1195"/>
              <w:spacing w:after="0" w:line="189"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44,802</w:t>
            </w:r>
          </w:p>
        </w:tc>
        <w:tc>
          <w:tcPr>
            <w:tcW w:w="300" w:type="dxa"/>
            <w:vAlign w:val="bottom"/>
          </w:tcPr>
          <w:p>
            <w:pPr>
              <w:spacing w:after="0"/>
              <w:rPr>
                <w:sz w:val="16"/>
                <w:szCs w:val="16"/>
                <w:color w:val="auto"/>
              </w:rPr>
            </w:pPr>
          </w:p>
        </w:tc>
        <w:tc>
          <w:tcPr>
            <w:tcW w:w="800" w:type="dxa"/>
            <w:vAlign w:val="bottom"/>
          </w:tcPr>
          <w:p>
            <w:pPr>
              <w:jc w:val="right"/>
              <w:ind w:right="63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47,483</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CCEEFF"/>
            </w:tcBorders>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Digital advertising and marketing services</w:t>
            </w:r>
          </w:p>
        </w:tc>
        <w:tc>
          <w:tcPr>
            <w:tcW w:w="17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24,865</w:t>
            </w:r>
          </w:p>
        </w:tc>
        <w:tc>
          <w:tcPr>
            <w:tcW w:w="3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25,788</w:t>
            </w:r>
          </w:p>
        </w:tc>
        <w:tc>
          <w:tcPr>
            <w:tcW w:w="0" w:type="dxa"/>
            <w:vAlign w:val="bottom"/>
          </w:tcPr>
          <w:p>
            <w:pPr>
              <w:spacing w:after="0"/>
              <w:rPr>
                <w:sz w:val="1"/>
                <w:szCs w:val="1"/>
                <w:color w:val="auto"/>
              </w:rPr>
            </w:pPr>
          </w:p>
        </w:tc>
      </w:tr>
      <w:tr>
        <w:trPr>
          <w:trHeight w:val="216"/>
        </w:trPr>
        <w:tc>
          <w:tcPr>
            <w:tcW w:w="4880" w:type="dxa"/>
            <w:vAlign w:val="bottom"/>
            <w:tcBorders>
              <w:bottom w:val="single" w:sz="8" w:color="CCEEFF"/>
            </w:tcBorders>
          </w:tcPr>
          <w:p>
            <w:pPr>
              <w:ind w:left="220"/>
              <w:spacing w:after="0" w:line="176" w:lineRule="exact"/>
              <w:rPr>
                <w:sz w:val="20"/>
                <w:szCs w:val="20"/>
                <w:color w:val="auto"/>
              </w:rPr>
            </w:pPr>
            <w:r>
              <w:rPr>
                <w:rFonts w:ascii="Times New Roman" w:cs="Times New Roman" w:eastAsia="Times New Roman" w:hAnsi="Times New Roman"/>
                <w:sz w:val="18"/>
                <w:szCs w:val="18"/>
                <w:color w:val="auto"/>
              </w:rPr>
              <w:t>Total</w:t>
            </w:r>
          </w:p>
        </w:tc>
        <w:tc>
          <w:tcPr>
            <w:tcW w:w="17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1195"/>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69,667</w:t>
            </w:r>
          </w:p>
        </w:tc>
        <w:tc>
          <w:tcPr>
            <w:tcW w:w="3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ind w:right="636"/>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73,271</w:t>
            </w:r>
          </w:p>
        </w:tc>
        <w:tc>
          <w:tcPr>
            <w:tcW w:w="0" w:type="dxa"/>
            <w:vAlign w:val="bottom"/>
          </w:tcPr>
          <w:p>
            <w:pPr>
              <w:spacing w:after="0"/>
              <w:rPr>
                <w:sz w:val="1"/>
                <w:szCs w:val="1"/>
                <w:color w:val="auto"/>
              </w:rPr>
            </w:pPr>
          </w:p>
        </w:tc>
      </w:tr>
      <w:tr>
        <w:trPr>
          <w:trHeight w:val="169"/>
        </w:trPr>
        <w:tc>
          <w:tcPr>
            <w:tcW w:w="48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88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Circulation</w:t>
            </w:r>
          </w:p>
        </w:tc>
        <w:tc>
          <w:tcPr>
            <w:tcW w:w="17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Print circulation</w:t>
            </w:r>
          </w:p>
        </w:tc>
        <w:tc>
          <w:tcPr>
            <w:tcW w:w="3100" w:type="dxa"/>
            <w:vAlign w:val="bottom"/>
            <w:gridSpan w:val="2"/>
            <w:shd w:val="clear" w:color="auto" w:fill="CCEEFF"/>
          </w:tcPr>
          <w:p>
            <w:pPr>
              <w:jc w:val="right"/>
              <w:ind w:right="1195"/>
              <w:spacing w:after="0" w:line="189"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52,045</w:t>
            </w: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3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55,339</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CCEEFF"/>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Digital circulation</w:t>
            </w:r>
          </w:p>
        </w:tc>
        <w:tc>
          <w:tcPr>
            <w:tcW w:w="172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13,146</w:t>
            </w:r>
          </w:p>
        </w:tc>
        <w:tc>
          <w:tcPr>
            <w:tcW w:w="3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9,604</w:t>
            </w:r>
          </w:p>
        </w:tc>
        <w:tc>
          <w:tcPr>
            <w:tcW w:w="0" w:type="dxa"/>
            <w:vAlign w:val="bottom"/>
          </w:tcPr>
          <w:p>
            <w:pPr>
              <w:spacing w:after="0"/>
              <w:rPr>
                <w:sz w:val="1"/>
                <w:szCs w:val="1"/>
                <w:color w:val="auto"/>
              </w:rPr>
            </w:pPr>
          </w:p>
        </w:tc>
      </w:tr>
      <w:tr>
        <w:trPr>
          <w:trHeight w:val="189"/>
        </w:trPr>
        <w:tc>
          <w:tcPr>
            <w:tcW w:w="4880" w:type="dxa"/>
            <w:vAlign w:val="bottom"/>
            <w:tcBorders>
              <w:bottom w:val="single" w:sz="8" w:color="CCEEFF"/>
            </w:tcBorders>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Total</w:t>
            </w:r>
          </w:p>
        </w:tc>
        <w:tc>
          <w:tcPr>
            <w:tcW w:w="17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1195"/>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65,191</w:t>
            </w:r>
          </w:p>
        </w:tc>
        <w:tc>
          <w:tcPr>
            <w:tcW w:w="3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63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64,943</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Printing, Distribution and Other</w:t>
            </w:r>
          </w:p>
        </w:tc>
        <w:tc>
          <w:tcPr>
            <w:tcW w:w="3100" w:type="dxa"/>
            <w:vAlign w:val="bottom"/>
            <w:gridSpan w:val="2"/>
            <w:shd w:val="clear" w:color="auto" w:fill="CCEEFF"/>
          </w:tcPr>
          <w:p>
            <w:pPr>
              <w:jc w:val="right"/>
              <w:ind w:right="1195"/>
              <w:spacing w:after="0" w:line="189"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15,793</w:t>
            </w: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3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16,160</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CCEEFF"/>
            </w:tcBorders>
          </w:tcPr>
          <w:p>
            <w:pPr>
              <w:spacing w:after="0"/>
              <w:rPr>
                <w:sz w:val="17"/>
                <w:szCs w:val="17"/>
                <w:color w:val="auto"/>
              </w:rPr>
            </w:pPr>
          </w:p>
        </w:tc>
        <w:tc>
          <w:tcPr>
            <w:tcW w:w="172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880" w:type="dxa"/>
            <w:vAlign w:val="bottom"/>
            <w:tcBorders>
              <w:bottom w:val="single" w:sz="8" w:color="CCEEFF"/>
            </w:tcBorders>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b w:val="1"/>
                <w:bCs w:val="1"/>
                <w:color w:val="auto"/>
              </w:rPr>
              <w:t>Total Revenue</w:t>
            </w:r>
          </w:p>
        </w:tc>
        <w:tc>
          <w:tcPr>
            <w:tcW w:w="17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1195"/>
              <w:spacing w:after="0" w:line="189"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150,651</w:t>
            </w:r>
          </w:p>
        </w:tc>
        <w:tc>
          <w:tcPr>
            <w:tcW w:w="3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636"/>
              <w:spacing w:after="0" w:line="189"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3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154,374</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Advertising and Marketing Services</w:t>
            </w:r>
          </w:p>
        </w:tc>
        <w:tc>
          <w:tcPr>
            <w:tcW w:w="17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88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Print advertising is comprised of display, classified and preprint advertising revenue. Display revenue results from sales of advertising space within the Company’s core newspapers and niche publications to local, regional or national businesses with local operations, affiliates or resellers. Classified revenue, which includes automotive, real estate, employment, obituaries and other, results from sales of advertising space in the classified and other sections of the Company’s newspapers. Preprint revenue results from sales of preprinted advertisements or circulars inserted into the Company’s core newspapers, niche publications, and distributed to publications in other markets, or distributed by mail or through third-party distributors to households in targeted areas in order to provide total market coverage for advertisers. The Company’s capabilities allow its advertisers to target preprint distribution selectively at the sub-zip code level in order to optimize coverage for the advertisers’ locations. Preprint advertising also includes other services revenue related to the Company’s niche publications.</w:t>
      </w:r>
    </w:p>
    <w:p>
      <w:pPr>
        <w:spacing w:after="0" w:line="16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Digital advertising and marketing services revenue consists of strategic marketing services, consulting, branding, paid media strategy and management, creative services, search optimization, direct mail and the sale of promotional materials, as well as providing multi-channel marketing solutions through subscription sales of the Company’s cloud-based software. In addition, it includes digital sales of banner, classified and native advertisements on the Company’s news and entertainment-related websites and mobile apps, as well as targeted and multi-channel (programmatic) advertising placed on third-party websites.</w:t>
      </w:r>
    </w:p>
    <w:p>
      <w:pPr>
        <w:spacing w:after="0" w:line="14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Advertising and marketing services revenue is primarily recognized at a point in time when the ad or service is complete and delivered, based on the customers’ contract price. Barter advertising transactions are recognized at estimated fair value based on the negotiated contract price and the range of prices for similar advertising from customers unrelated to the barter transaction. The Company expenses barter costs as incurred, which is independent from the timing of revenue recognition. In addition, certain digital advertising revenue related to website access is recognized over time, based on the customers’ monthly rate. The Company typically extends credit to advertising and marketing services customers, although for certain advertising campaigns the customer may pay in advance.</w:t>
      </w:r>
    </w:p>
    <w:p>
      <w:pPr>
        <w:spacing w:after="0" w:line="15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For ads placed on certain third-party websites, the Company must evaluate and use judgment to determine whether it is acting as the principal, where revenue is reported on a gross basis, or acting as the agent, where revenue is reported on a net basis. Generally, the Company reports advertising revenue for ads placed on third-party websites on a net basis, meaning the amount recorded to revenue is the amount billed to the customer net of amounts paid to the publisher of the third-party website. The Company is acting as the agent because the publisher controls the advertising inventory. The Company will record certain arrangements gross when it has latitude in establishing price or it determines the placement of the ads as a value added service to the customer.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Circulation</w:t>
      </w:r>
    </w:p>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Print circulation revenue is generated primarily by selling home delivery subscriptions, including premium publications, and from single copy sales to non-subscribers. Home delivery revenue is recognized over the subscription period based on the days of actual delivery over the total subscription days and single copy revenue is recognized at a point in time when the paper is purchased. Revenue is directly reduced for any non-payment for the grace period of home delivery subscriptions where the Company recorded revenue for newspapers delivered after a subscription expired.</w:t>
      </w:r>
    </w:p>
    <w:p>
      <w:pPr>
        <w:spacing w:after="0" w:line="200" w:lineRule="exact"/>
        <w:rPr>
          <w:sz w:val="20"/>
          <w:szCs w:val="20"/>
          <w:color w:val="auto"/>
        </w:rPr>
      </w:pPr>
    </w:p>
    <w:p>
      <w:pPr>
        <w:spacing w:after="0" w:line="278" w:lineRule="exact"/>
        <w:rPr>
          <w:sz w:val="20"/>
          <w:szCs w:val="20"/>
          <w:color w:val="auto"/>
        </w:rPr>
      </w:pPr>
    </w:p>
    <w:p>
      <w:pPr>
        <w:jc w:val="right"/>
        <w:spacing w:after="0"/>
        <w:tabs>
          <w:tab w:leader="none" w:pos="700" w:val="left"/>
        </w:tabs>
        <w:rPr>
          <w:sz w:val="20"/>
          <w:szCs w:val="20"/>
          <w:color w:val="auto"/>
        </w:rPr>
      </w:pPr>
      <w:r>
        <w:rPr>
          <w:rFonts w:ascii="Times New Roman" w:cs="Times New Roman" w:eastAsia="Times New Roman" w:hAnsi="Times New Roman"/>
          <w:sz w:val="18"/>
          <w:szCs w:val="18"/>
          <w:color w:val="auto"/>
        </w:rPr>
        <w:t>DallasNews Corporation 2022 Annual Report on Form 10-K</w:t>
      </w:r>
      <w:r>
        <w:rPr>
          <w:sz w:val="20"/>
          <w:szCs w:val="20"/>
          <w:color w:val="auto"/>
        </w:rPr>
        <w:tab/>
      </w:r>
      <w:r>
        <w:rPr>
          <w:rFonts w:ascii="Times New Roman" w:cs="Times New Roman" w:eastAsia="Times New Roman" w:hAnsi="Times New Roman"/>
          <w:sz w:val="17"/>
          <w:szCs w:val="17"/>
          <w:b w:val="1"/>
          <w:bCs w:val="1"/>
          <w:color w:val="auto"/>
        </w:rPr>
        <w:t>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Digital circulation revenue is generated by digital-only subscriptions and is recognized over the subscription period based on daily or monthly access to the content in the subscription period.</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Payment of circulation fees is typically received in advance and deferred over the subscription period. There is little judgment required for valuation or timing of circulation revenue recognition.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Printing, Distribution and Other</w:t>
      </w:r>
    </w:p>
    <w:p>
      <w:pPr>
        <w:spacing w:after="0" w:line="175"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Printing, distribution and other revenue is primarily generated from printing and distribution of other newspapers, as well as production of preprinted advertisements for other newspapers. Printing, distribution and other revenue is recognized at a point in time when the product or service is delivered, which requires little judgment to determine. The Company typically extends credit to printing and distribution customers.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Revenue</w:t>
      </w:r>
    </w:p>
    <w:p>
      <w:pPr>
        <w:spacing w:after="0" w:line="18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Deferred revenue is recorded when cash payments are received in advance of the Company’s performance, including amounts which are refundable. The Company’s primary sources of deferred revenue are from circulation subscriptions and advertising paid in advance of the service provided. These up-front payments are recorded upon receipt as contract liabilities in the Consolidated Balance Sheets and the revenue is recognized when the Company’s obligations under the terms of the contract are satisfied. In the year ended December 31, 2022, the Company recognized $10,027 of revenue that was included in the contract liabilities balance as of December 31, 2021. The Company typically recognizes deferred revenue within 1 to 12 months.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Practical Expedients and Exemptions</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generally expenses sales commissions and circulation acquisition costs when incurred because the amortization period would have been one year or less. These costs are recorded within employee compensation and benefits expense and other production, distribution and operating costs expense, respectively.</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disclose the value of unsatisfied performance obligations for contracts with an original expected length of one year or less and contracts for which revenue is recognized at the amount invoiced for services performed.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3: Leases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has various operating leases primarily for office space and other distribution centers, some of which include escalating lease payments and options to extend or terminate the lease. The Company’s leases have remaining terms of less than 1 year to 11 years.</w:t>
      </w:r>
    </w:p>
    <w:p>
      <w:pPr>
        <w:spacing w:after="0" w:line="14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Company subleases office space in Dallas, Texas, with a remaining lease term of approximately one year. Additionally, the Company has various subleases with distributors, for distribution center space, with varying remaining lease terms of less than one year to two years and are cancellable with notice by either party. The Company terminated the lease and sublease agreements for the office space of the Denton Publishing Company, resulting in a right-of-use asset impairment of $102 recorded in the second quarter of 2022. In 2021, the Company subleased office space in Dallas, Texas at a lower rate than the head lease, resulting in a right-of-use asset impairment of $232. Sublease income is included in printing, distribution and other revenue in the Consolidated Statements of Operations. As of December 31, 2022, sublease income is expected to approximate $710 in 2023 and $5 in 2024.</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As of December 31, 2022, the Company renewed three operating leases with lease terms of three years, which will result in a right-of-use asset and lease liability of approximately $810 in aggregate upon commencement in the first quarter of 2023. In addition, the Company renewed an operating lease with a lease term of three years, which will result in a right-of-use asset and lease liability of approximately $1,861 upon commencement in the second quarter of 2023.</w:t>
      </w:r>
    </w:p>
    <w:p>
      <w:pPr>
        <w:spacing w:after="0" w:line="200" w:lineRule="exact"/>
        <w:rPr>
          <w:sz w:val="20"/>
          <w:szCs w:val="20"/>
          <w:color w:val="auto"/>
        </w:rPr>
      </w:pPr>
    </w:p>
    <w:p>
      <w:pPr>
        <w:spacing w:after="0" w:line="278" w:lineRule="exact"/>
        <w:rPr>
          <w:sz w:val="20"/>
          <w:szCs w:val="20"/>
          <w:color w:val="auto"/>
        </w:rPr>
      </w:pPr>
    </w:p>
    <w:p>
      <w:pPr>
        <w:jc w:val="right"/>
        <w:spacing w:after="0"/>
        <w:tabs>
          <w:tab w:leader="none" w:pos="700" w:val="left"/>
        </w:tabs>
        <w:rPr>
          <w:sz w:val="20"/>
          <w:szCs w:val="20"/>
          <w:color w:val="auto"/>
        </w:rPr>
      </w:pPr>
      <w:r>
        <w:rPr>
          <w:rFonts w:ascii="Times New Roman" w:cs="Times New Roman" w:eastAsia="Times New Roman" w:hAnsi="Times New Roman"/>
          <w:sz w:val="18"/>
          <w:szCs w:val="18"/>
          <w:color w:val="auto"/>
        </w:rPr>
        <w:t>DallasNews Corporation 2022 Annual Report on Form 10-K</w:t>
      </w:r>
      <w:r>
        <w:rPr>
          <w:sz w:val="20"/>
          <w:szCs w:val="20"/>
          <w:color w:val="auto"/>
        </w:rPr>
        <w:tab/>
      </w:r>
      <w:r>
        <w:rPr>
          <w:rFonts w:ascii="Times New Roman" w:cs="Times New Roman" w:eastAsia="Times New Roman" w:hAnsi="Times New Roman"/>
          <w:sz w:val="17"/>
          <w:szCs w:val="17"/>
          <w:b w:val="1"/>
          <w:bCs w:val="1"/>
          <w:color w:val="auto"/>
        </w:rPr>
        <w:t>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supplemental Consolidated Balance Sheet information for the Company’s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154305</wp:posOffset>
            </wp:positionV>
            <wp:extent cx="285432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51" w:lineRule="exact"/>
        <w:rPr>
          <w:sz w:val="20"/>
          <w:szCs w:val="20"/>
          <w:color w:val="auto"/>
        </w:rPr>
      </w:pPr>
    </w:p>
    <w:p>
      <w:pPr>
        <w:jc w:val="both"/>
        <w:ind w:left="4520"/>
        <w:spacing w:after="0"/>
        <w:tabs>
          <w:tab w:leader="none" w:pos="7300" w:val="left"/>
          <w:tab w:leader="none" w:pos="9620" w:val="left"/>
        </w:tabs>
        <w:rPr>
          <w:sz w:val="20"/>
          <w:szCs w:val="20"/>
          <w:color w:val="auto"/>
        </w:rPr>
      </w:pPr>
      <w:r>
        <w:rPr>
          <w:rFonts w:ascii="Times New Roman" w:cs="Times New Roman" w:eastAsia="Times New Roman" w:hAnsi="Times New Roman"/>
          <w:sz w:val="14"/>
          <w:szCs w:val="14"/>
          <w:b w:val="1"/>
          <w:bCs w:val="1"/>
          <w:color w:val="auto"/>
        </w:rPr>
        <w:t>Classification</w:t>
      </w:r>
      <w:r>
        <w:rPr>
          <w:sz w:val="20"/>
          <w:szCs w:val="20"/>
          <w:color w:val="auto"/>
        </w:rPr>
        <w:tab/>
      </w:r>
      <w:r>
        <w:rPr>
          <w:rFonts w:ascii="Times New Roman" w:cs="Times New Roman" w:eastAsia="Times New Roman" w:hAnsi="Times New Roman"/>
          <w:sz w:val="14"/>
          <w:szCs w:val="14"/>
          <w:b w:val="1"/>
          <w:bCs w:val="1"/>
          <w:i w:val="1"/>
          <w:iCs w:val="1"/>
          <w:color w:val="auto"/>
        </w:rPr>
        <w:t>December 31, 2022</w:t>
      </w:r>
      <w:r>
        <w:rPr>
          <w:sz w:val="20"/>
          <w:szCs w:val="20"/>
          <w:color w:val="auto"/>
        </w:rPr>
        <w:tab/>
      </w:r>
      <w:r>
        <w:rPr>
          <w:rFonts w:ascii="Times New Roman" w:cs="Times New Roman" w:eastAsia="Times New Roman" w:hAnsi="Times New Roman"/>
          <w:sz w:val="14"/>
          <w:szCs w:val="14"/>
          <w:b w:val="1"/>
          <w:bCs w:val="1"/>
          <w:i w:val="1"/>
          <w:i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Operating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Liabilities</w:t>
      </w:r>
    </w:p>
    <w:p>
      <w:pPr>
        <w:jc w:val="right"/>
        <w:ind w:right="2960"/>
        <w:spacing w:after="0" w:line="226" w:lineRule="auto"/>
        <w:rPr>
          <w:sz w:val="20"/>
          <w:szCs w:val="20"/>
          <w:color w:val="auto"/>
        </w:rPr>
      </w:pPr>
      <w:r>
        <w:rPr>
          <w:rFonts w:ascii="Times New Roman" w:cs="Times New Roman" w:eastAsia="Times New Roman" w:hAnsi="Times New Roman"/>
          <w:sz w:val="18"/>
          <w:szCs w:val="18"/>
          <w:color w:val="auto"/>
        </w:rPr>
        <w:t>Operating</w:t>
      </w:r>
    </w:p>
    <w:p>
      <w:pPr>
        <w:jc w:val="right"/>
        <w:ind w:right="2920"/>
        <w:spacing w:after="0"/>
        <w:rPr>
          <w:sz w:val="20"/>
          <w:szCs w:val="20"/>
          <w:color w:val="auto"/>
        </w:rPr>
      </w:pPr>
      <w:r>
        <w:rPr>
          <w:rFonts w:ascii="Times New Roman" w:cs="Times New Roman" w:eastAsia="Times New Roman" w:hAnsi="Times New Roman"/>
          <w:sz w:val="18"/>
          <w:szCs w:val="18"/>
          <w:color w:val="auto"/>
        </w:rPr>
        <w:t>Current</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Noncurrent</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Total lease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Term and Discount Rate</w:t>
      </w:r>
    </w:p>
    <w:p>
      <w:pPr>
        <w:ind w:left="120"/>
        <w:spacing w:after="0" w:line="226" w:lineRule="auto"/>
        <w:rPr>
          <w:sz w:val="20"/>
          <w:szCs w:val="20"/>
          <w:color w:val="auto"/>
        </w:rPr>
      </w:pPr>
      <w:r>
        <w:rPr>
          <w:rFonts w:ascii="Times New Roman" w:cs="Times New Roman" w:eastAsia="Times New Roman" w:hAnsi="Times New Roman"/>
          <w:sz w:val="18"/>
          <w:szCs w:val="18"/>
          <w:color w:val="auto"/>
        </w:rPr>
        <w:t>Operating leases</w:t>
      </w:r>
    </w:p>
    <w:p>
      <w:pPr>
        <w:ind w:left="220"/>
        <w:spacing w:after="0" w:line="232" w:lineRule="auto"/>
        <w:rPr>
          <w:sz w:val="20"/>
          <w:szCs w:val="20"/>
          <w:color w:val="auto"/>
        </w:rPr>
      </w:pPr>
      <w:r>
        <w:rPr>
          <w:rFonts w:ascii="Times New Roman" w:cs="Times New Roman" w:eastAsia="Times New Roman" w:hAnsi="Times New Roman"/>
          <w:sz w:val="17"/>
          <w:szCs w:val="17"/>
          <w:color w:val="auto"/>
        </w:rPr>
        <w:t>Weighted average remaining lease term (years)</w:t>
      </w:r>
    </w:p>
    <w:p>
      <w:pPr>
        <w:ind w:left="220"/>
        <w:spacing w:after="0"/>
        <w:rPr>
          <w:sz w:val="20"/>
          <w:szCs w:val="20"/>
          <w:color w:val="auto"/>
        </w:rPr>
      </w:pPr>
      <w:r>
        <w:rPr>
          <w:rFonts w:ascii="Times New Roman" w:cs="Times New Roman" w:eastAsia="Times New Roman" w:hAnsi="Times New Roman"/>
          <w:sz w:val="18"/>
          <w:szCs w:val="18"/>
          <w:color w:val="auto"/>
        </w:rPr>
        <w:t>Weighted average discount rate (%)</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48"/>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96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14,811</w:t>
            </w:r>
          </w:p>
        </w:tc>
        <w:tc>
          <w:tcPr>
            <w:tcW w:w="120" w:type="dxa"/>
            <w:vAlign w:val="bottom"/>
          </w:tcPr>
          <w:p>
            <w:pPr>
              <w:spacing w:after="0"/>
              <w:rPr>
                <w:sz w:val="21"/>
                <w:szCs w:val="21"/>
                <w:color w:val="auto"/>
              </w:rPr>
            </w:pPr>
          </w:p>
        </w:tc>
        <w:tc>
          <w:tcPr>
            <w:tcW w:w="860" w:type="dxa"/>
            <w:vAlign w:val="bottom"/>
          </w:tcPr>
          <w:p>
            <w:pPr>
              <w:jc w:val="right"/>
              <w:ind w:right="6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17,648</w:t>
            </w:r>
          </w:p>
        </w:tc>
      </w:tr>
      <w:tr>
        <w:trPr>
          <w:trHeight w:val="711"/>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w:t>
            </w:r>
          </w:p>
        </w:tc>
        <w:tc>
          <w:tcPr>
            <w:tcW w:w="96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20" w:type="dxa"/>
            <w:vAlign w:val="bottom"/>
          </w:tcPr>
          <w:p>
            <w:pPr>
              <w:spacing w:after="0"/>
              <w:rPr>
                <w:sz w:val="24"/>
                <w:szCs w:val="24"/>
                <w:color w:val="auto"/>
              </w:rPr>
            </w:pPr>
          </w:p>
        </w:tc>
        <w:tc>
          <w:tcPr>
            <w:tcW w:w="860" w:type="dxa"/>
            <w:vAlign w:val="bottom"/>
          </w:tcPr>
          <w:p>
            <w:pPr>
              <w:jc w:val="right"/>
              <w:ind w:right="6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w:t>
            </w:r>
          </w:p>
        </w:tc>
      </w:tr>
      <w:tr>
        <w:trPr>
          <w:trHeight w:val="189"/>
        </w:trPr>
        <w:tc>
          <w:tcPr>
            <w:tcW w:w="21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Long-term operating lease</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28"/>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16,546</w:t>
            </w:r>
          </w:p>
        </w:tc>
        <w:tc>
          <w:tcPr>
            <w:tcW w:w="1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19,181</w:t>
            </w:r>
          </w:p>
        </w:tc>
      </w:tr>
      <w:tr>
        <w:trPr>
          <w:trHeight w:val="189"/>
        </w:trPr>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jc w:val="right"/>
              <w:ind w:right="6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18,093</w:t>
            </w:r>
          </w:p>
        </w:tc>
        <w:tc>
          <w:tcPr>
            <w:tcW w:w="120" w:type="dxa"/>
            <w:vAlign w:val="bottom"/>
          </w:tcPr>
          <w:p>
            <w:pPr>
              <w:spacing w:after="0"/>
              <w:rPr>
                <w:sz w:val="16"/>
                <w:szCs w:val="16"/>
                <w:color w:val="auto"/>
              </w:rPr>
            </w:pPr>
          </w:p>
        </w:tc>
        <w:tc>
          <w:tcPr>
            <w:tcW w:w="860" w:type="dxa"/>
            <w:vAlign w:val="bottom"/>
            <w:tcBorders>
              <w:bottom w:val="single" w:sz="8" w:color="auto"/>
            </w:tcBorders>
          </w:tcPr>
          <w:p>
            <w:pPr>
              <w:jc w:val="right"/>
              <w:ind w:right="69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21,611</w:t>
            </w:r>
          </w:p>
        </w:tc>
      </w:tr>
      <w:tr>
        <w:trPr>
          <w:trHeight w:val="20"/>
        </w:trPr>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705"/>
        </w:trPr>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4"/>
        </w:trPr>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-1490980</wp:posOffset>
            </wp:positionV>
            <wp:extent cx="7132320" cy="1200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-1250950</wp:posOffset>
            </wp:positionV>
            <wp:extent cx="7132320" cy="1200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-1010920</wp:posOffset>
            </wp:positionV>
            <wp:extent cx="7132320" cy="2489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8">
                      <a:extLst>
                        <a:ext uri="{28A0092B-C50C-407E-A947-70E740481C1C}"/>
                      </a:extLst>
                    </a:blip>
                    <a:srcRect/>
                    <a:stretch>
                      <a:fillRect/>
                    </a:stretch>
                  </pic:blipFill>
                  <pic:spPr bwMode="auto">
                    <a:xfrm>
                      <a:off x="0" y="0"/>
                      <a:ext cx="7132320" cy="24892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-625475</wp:posOffset>
            </wp:positionV>
            <wp:extent cx="713232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-368300</wp:posOffset>
            </wp:positionV>
            <wp:extent cx="7132320" cy="1200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-128270</wp:posOffset>
            </wp:positionV>
            <wp:extent cx="7132320" cy="1200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44" w:lineRule="exact"/>
        <w:rPr>
          <w:sz w:val="20"/>
          <w:szCs w:val="20"/>
          <w:color w:val="auto"/>
        </w:rPr>
      </w:pPr>
    </w:p>
    <w:p>
      <w:pPr>
        <w:sectPr>
          <w:pgSz w:w="11900" w:h="16838" w:orient="portrait"/>
          <w:cols w:equalWidth="0" w:num="2">
            <w:col w:w="3800" w:space="720"/>
            <w:col w:w="6720"/>
          </w:cols>
          <w:pgMar w:left="320" w:top="10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The table below sets forth components of lease cost and supplemental cash flow information for the Company’s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154305</wp:posOffset>
            </wp:positionV>
            <wp:extent cx="363474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2">
                      <a:extLst>
                        <a:ext uri="{28A0092B-C50C-407E-A947-70E740481C1C}"/>
                      </a:extLst>
                    </a:blip>
                    <a:srcRect/>
                    <a:stretch>
                      <a:fillRect/>
                    </a:stretch>
                  </pic:blipFill>
                  <pic:spPr bwMode="auto">
                    <a:xfrm>
                      <a:off x="0" y="0"/>
                      <a:ext cx="3634740" cy="17145"/>
                    </a:xfrm>
                    <a:prstGeom prst="rect">
                      <a:avLst/>
                    </a:prstGeom>
                    <a:noFill/>
                  </pic:spPr>
                </pic:pic>
              </a:graphicData>
            </a:graphic>
          </wp:anchor>
        </w:drawing>
      </w:r>
    </w:p>
    <w:p>
      <w:pPr>
        <w:spacing w:after="0" w:line="224" w:lineRule="exact"/>
        <w:rPr>
          <w:sz w:val="20"/>
          <w:szCs w:val="20"/>
          <w:color w:val="auto"/>
        </w:rPr>
      </w:pPr>
    </w:p>
    <w:p>
      <w:pPr>
        <w:jc w:val="center"/>
        <w:ind w:left="5480"/>
        <w:spacing w:after="0"/>
        <w:rPr>
          <w:sz w:val="20"/>
          <w:szCs w:val="20"/>
          <w:color w:val="auto"/>
        </w:rPr>
      </w:pPr>
      <w:r>
        <w:rPr>
          <w:rFonts w:ascii="Times New Roman" w:cs="Times New Roman" w:eastAsia="Times New Roman" w:hAnsi="Times New Roman"/>
          <w:sz w:val="14"/>
          <w:szCs w:val="14"/>
          <w:b w:val="1"/>
          <w:bCs w:val="1"/>
          <w:i w:val="1"/>
          <w:i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17780</wp:posOffset>
            </wp:positionV>
            <wp:extent cx="363474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3">
                      <a:extLst>
                        <a:ext uri="{28A0092B-C50C-407E-A947-70E740481C1C}"/>
                      </a:extLst>
                    </a:blip>
                    <a:srcRect/>
                    <a:stretch>
                      <a:fillRect/>
                    </a:stretch>
                  </pic:blipFill>
                  <pic:spPr bwMode="auto">
                    <a:xfrm>
                      <a:off x="0" y="0"/>
                      <a:ext cx="3634740" cy="17145"/>
                    </a:xfrm>
                    <a:prstGeom prst="rect">
                      <a:avLst/>
                    </a:prstGeom>
                    <a:noFill/>
                  </pic:spPr>
                </pic:pic>
              </a:graphicData>
            </a:graphic>
          </wp:anchor>
        </w:drawing>
      </w:r>
    </w:p>
    <w:p>
      <w:pPr>
        <w:spacing w:after="0" w:line="22" w:lineRule="exact"/>
        <w:rPr>
          <w:sz w:val="20"/>
          <w:szCs w:val="20"/>
          <w:color w:val="auto"/>
        </w:rPr>
      </w:pPr>
    </w:p>
    <w:p>
      <w:pPr>
        <w:jc w:val="both"/>
        <w:ind w:left="6760"/>
        <w:spacing w:after="0"/>
        <w:tabs>
          <w:tab w:leader="none" w:pos="9700" w:val="left"/>
        </w:tabs>
        <w:rPr>
          <w:sz w:val="20"/>
          <w:szCs w:val="20"/>
          <w:color w:val="auto"/>
        </w:rPr>
      </w:pPr>
      <w:r>
        <w:rPr>
          <w:rFonts w:ascii="Times New Roman" w:cs="Times New Roman" w:eastAsia="Times New Roman" w:hAnsi="Times New Roman"/>
          <w:sz w:val="14"/>
          <w:szCs w:val="14"/>
          <w:b w:val="1"/>
          <w:bCs w:val="1"/>
          <w:i w:val="1"/>
          <w:iCs w:val="1"/>
          <w:color w:val="auto"/>
        </w:rPr>
        <w:t>2022</w:t>
      </w:r>
      <w:r>
        <w:rPr>
          <w:sz w:val="20"/>
          <w:szCs w:val="20"/>
          <w:color w:val="auto"/>
        </w:rPr>
        <w:tab/>
      </w:r>
      <w:r>
        <w:rPr>
          <w:rFonts w:ascii="Times New Roman" w:cs="Times New Roman" w:eastAsia="Times New Roman" w:hAnsi="Times New Roman"/>
          <w:sz w:val="14"/>
          <w:szCs w:val="14"/>
          <w:b w:val="1"/>
          <w:bCs w:val="1"/>
          <w:i w:val="1"/>
          <w:i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Cost</w:t>
      </w:r>
    </w:p>
    <w:p>
      <w:pPr>
        <w:ind w:left="120"/>
        <w:spacing w:after="0" w:line="219" w:lineRule="auto"/>
        <w:rPr>
          <w:sz w:val="20"/>
          <w:szCs w:val="20"/>
          <w:color w:val="auto"/>
        </w:rPr>
      </w:pPr>
      <w:r>
        <w:rPr>
          <w:rFonts w:ascii="Times New Roman" w:cs="Times New Roman" w:eastAsia="Times New Roman" w:hAnsi="Times New Roman"/>
          <w:sz w:val="18"/>
          <w:szCs w:val="18"/>
          <w:color w:val="auto"/>
        </w:rPr>
        <w:t>Operating lease cost</w:t>
      </w:r>
    </w:p>
    <w:p>
      <w:pPr>
        <w:ind w:left="120"/>
        <w:spacing w:after="0" w:line="219" w:lineRule="auto"/>
        <w:rPr>
          <w:sz w:val="20"/>
          <w:szCs w:val="20"/>
          <w:color w:val="auto"/>
        </w:rPr>
      </w:pPr>
      <w:r>
        <w:rPr>
          <w:rFonts w:ascii="Times New Roman" w:cs="Times New Roman" w:eastAsia="Times New Roman" w:hAnsi="Times New Roman"/>
          <w:sz w:val="18"/>
          <w:szCs w:val="18"/>
          <w:color w:val="auto"/>
        </w:rPr>
        <w:t>Short-term lease cost</w:t>
      </w:r>
    </w:p>
    <w:p>
      <w:pPr>
        <w:ind w:left="120"/>
        <w:spacing w:after="0" w:line="235" w:lineRule="auto"/>
        <w:rPr>
          <w:sz w:val="20"/>
          <w:szCs w:val="20"/>
          <w:color w:val="auto"/>
        </w:rPr>
      </w:pPr>
      <w:r>
        <w:rPr>
          <w:rFonts w:ascii="Times New Roman" w:cs="Times New Roman" w:eastAsia="Times New Roman" w:hAnsi="Times New Roman"/>
          <w:sz w:val="18"/>
          <w:szCs w:val="18"/>
          <w:color w:val="auto"/>
        </w:rPr>
        <w:t>Variable lease cost</w:t>
      </w:r>
    </w:p>
    <w:p>
      <w:pPr>
        <w:jc w:val="right"/>
        <w:ind w:right="3840"/>
        <w:spacing w:after="0" w:line="219" w:lineRule="auto"/>
        <w:rPr>
          <w:sz w:val="20"/>
          <w:szCs w:val="20"/>
          <w:color w:val="auto"/>
        </w:rPr>
      </w:pPr>
      <w:r>
        <w:rPr>
          <w:rFonts w:ascii="Times New Roman" w:cs="Times New Roman" w:eastAsia="Times New Roman" w:hAnsi="Times New Roman"/>
          <w:sz w:val="18"/>
          <w:szCs w:val="18"/>
          <w:color w:val="auto"/>
        </w:rPr>
        <w:t>Sublease income</w:t>
      </w:r>
    </w:p>
    <w:p>
      <w:pPr>
        <w:jc w:val="right"/>
        <w:ind w:right="3820"/>
        <w:spacing w:after="0"/>
        <w:rPr>
          <w:sz w:val="20"/>
          <w:szCs w:val="20"/>
          <w:color w:val="auto"/>
        </w:rPr>
      </w:pPr>
      <w:r>
        <w:rPr>
          <w:rFonts w:ascii="Times New Roman" w:cs="Times New Roman" w:eastAsia="Times New Roman" w:hAnsi="Times New Roman"/>
          <w:sz w:val="18"/>
          <w:szCs w:val="18"/>
          <w:color w:val="auto"/>
        </w:rPr>
        <w:t>Total lease cost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p>
      <w:pPr>
        <w:spacing w:after="0" w:line="6" w:lineRule="exact"/>
        <w:rPr>
          <w:sz w:val="20"/>
          <w:szCs w:val="20"/>
          <w:color w:val="auto"/>
        </w:rPr>
      </w:pPr>
    </w:p>
    <w:p>
      <w:pPr>
        <w:ind w:left="120"/>
        <w:spacing w:after="0" w:line="233" w:lineRule="auto"/>
        <w:rPr>
          <w:sz w:val="20"/>
          <w:szCs w:val="20"/>
          <w:color w:val="auto"/>
        </w:rPr>
      </w:pPr>
      <w:r>
        <w:rPr>
          <w:rFonts w:ascii="Times New Roman" w:cs="Times New Roman" w:eastAsia="Times New Roman" w:hAnsi="Times New Roman"/>
          <w:sz w:val="18"/>
          <w:szCs w:val="18"/>
          <w:color w:val="auto"/>
        </w:rPr>
        <w:t>Cash paid for operating leases included in operating activities Right-of-use assets obtained in exchange for operating lease liabilities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jc w:val="right"/>
              <w:ind w:right="99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w:t>
            </w:r>
          </w:p>
        </w:tc>
      </w:tr>
      <w:tr>
        <w:trPr>
          <w:trHeight w:val="189"/>
        </w:trPr>
        <w:tc>
          <w:tcPr>
            <w:tcW w:w="1160" w:type="dxa"/>
            <w:vAlign w:val="bottom"/>
          </w:tcPr>
          <w:p>
            <w:pPr>
              <w:spacing w:after="0"/>
              <w:rPr>
                <w:sz w:val="16"/>
                <w:szCs w:val="16"/>
                <w:color w:val="auto"/>
              </w:rPr>
            </w:pPr>
          </w:p>
        </w:tc>
        <w:tc>
          <w:tcPr>
            <w:tcW w:w="16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63</w:t>
            </w:r>
          </w:p>
        </w:tc>
      </w:tr>
      <w:tr>
        <w:trPr>
          <w:trHeight w:val="189"/>
        </w:trPr>
        <w:tc>
          <w:tcPr>
            <w:tcW w:w="1160" w:type="dxa"/>
            <w:vAlign w:val="bottom"/>
          </w:tcPr>
          <w:p>
            <w:pPr>
              <w:spacing w:after="0"/>
              <w:rPr>
                <w:sz w:val="16"/>
                <w:szCs w:val="16"/>
                <w:color w:val="auto"/>
              </w:rPr>
            </w:pPr>
          </w:p>
        </w:tc>
        <w:tc>
          <w:tcPr>
            <w:tcW w:w="16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645</w:t>
            </w:r>
          </w:p>
        </w:tc>
      </w:tr>
      <w:tr>
        <w:trPr>
          <w:trHeight w:val="228"/>
        </w:trPr>
        <w:tc>
          <w:tcPr>
            <w:tcW w:w="1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w:t>
            </w:r>
          </w:p>
        </w:tc>
      </w:tr>
      <w:tr>
        <w:trPr>
          <w:trHeight w:val="189"/>
        </w:trPr>
        <w:tc>
          <w:tcPr>
            <w:tcW w:w="1160" w:type="dxa"/>
            <w:vAlign w:val="bottom"/>
            <w:tcBorders>
              <w:bottom w:val="single" w:sz="8" w:color="auto"/>
            </w:tcBorders>
          </w:tcPr>
          <w:p>
            <w:pPr>
              <w:jc w:val="right"/>
              <w:ind w:right="99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3,641</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516"/>
        </w:trPr>
        <w:tc>
          <w:tcPr>
            <w:tcW w:w="1160" w:type="dxa"/>
            <w:vAlign w:val="bottom"/>
          </w:tcPr>
          <w:p>
            <w:pPr>
              <w:jc w:val="right"/>
              <w:ind w:right="99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w:t>
            </w:r>
          </w:p>
        </w:tc>
      </w:tr>
      <w:tr>
        <w:trPr>
          <w:trHeight w:val="234"/>
        </w:trPr>
        <w:tc>
          <w:tcPr>
            <w:tcW w:w="1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-1010920</wp:posOffset>
            </wp:positionV>
            <wp:extent cx="7132320" cy="1200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-770890</wp:posOffset>
            </wp:positionV>
            <wp:extent cx="7132320"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-505460</wp:posOffset>
            </wp:positionV>
            <wp:extent cx="713232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-248285</wp:posOffset>
            </wp:positionV>
            <wp:extent cx="7132320" cy="1200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w:t>
            </w:r>
          </w:p>
        </w:tc>
      </w:tr>
      <w:tr>
        <w:trPr>
          <w:trHeight w:val="189"/>
        </w:trPr>
        <w:tc>
          <w:tcPr>
            <w:tcW w:w="1160" w:type="dxa"/>
            <w:vAlign w:val="bottom"/>
          </w:tcPr>
          <w:p>
            <w:pPr>
              <w:spacing w:after="0"/>
              <w:rPr>
                <w:sz w:val="16"/>
                <w:szCs w:val="16"/>
                <w:color w:val="auto"/>
              </w:rPr>
            </w:pPr>
          </w:p>
        </w:tc>
        <w:tc>
          <w:tcPr>
            <w:tcW w:w="16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20</w:t>
            </w:r>
          </w:p>
        </w:tc>
      </w:tr>
      <w:tr>
        <w:trPr>
          <w:trHeight w:val="189"/>
        </w:trPr>
        <w:tc>
          <w:tcPr>
            <w:tcW w:w="1160" w:type="dxa"/>
            <w:vAlign w:val="bottom"/>
          </w:tcPr>
          <w:p>
            <w:pPr>
              <w:spacing w:after="0"/>
              <w:rPr>
                <w:sz w:val="16"/>
                <w:szCs w:val="16"/>
                <w:color w:val="auto"/>
              </w:rPr>
            </w:pPr>
          </w:p>
        </w:tc>
        <w:tc>
          <w:tcPr>
            <w:tcW w:w="16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706</w:t>
            </w:r>
          </w:p>
        </w:tc>
      </w:tr>
      <w:tr>
        <w:trPr>
          <w:trHeight w:val="228"/>
        </w:trPr>
        <w:tc>
          <w:tcPr>
            <w:tcW w:w="1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w:t>
            </w:r>
          </w:p>
        </w:tc>
      </w:tr>
      <w:tr>
        <w:trPr>
          <w:trHeight w:val="189"/>
        </w:trPr>
        <w:tc>
          <w:tcPr>
            <w:tcW w:w="1160" w:type="dxa"/>
            <w:vAlign w:val="bottom"/>
            <w:tcBorders>
              <w:bottom w:val="single" w:sz="8" w:color="auto"/>
            </w:tcBorders>
          </w:tcPr>
          <w:p>
            <w:pPr>
              <w:jc w:val="right"/>
              <w:ind w:right="9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3,947</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516"/>
        </w:trPr>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w:t>
            </w:r>
          </w:p>
        </w:tc>
      </w:tr>
      <w:tr>
        <w:trPr>
          <w:trHeight w:val="234"/>
        </w:trPr>
        <w:tc>
          <w:tcPr>
            <w:tcW w:w="1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bl>
    <w:p>
      <w:pPr>
        <w:spacing w:after="0" w:line="157" w:lineRule="exact"/>
        <w:rPr>
          <w:sz w:val="20"/>
          <w:szCs w:val="20"/>
          <w:color w:val="auto"/>
        </w:rPr>
      </w:pPr>
    </w:p>
    <w:p>
      <w:pPr>
        <w:sectPr>
          <w:pgSz w:w="11900" w:h="16838" w:orient="portrait"/>
          <w:cols w:equalWidth="0" w:num="3">
            <w:col w:w="5160" w:space="360"/>
            <w:col w:w="2780" w:space="180"/>
            <w:col w:w="2760"/>
          </w:cols>
          <w:pgMar w:left="320" w:top="10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The table below sets forth the remaining maturities of the Company’s lease liabilities as of December 31, 2022.</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Years Ending December 31,</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Leases</w:t>
      </w:r>
    </w:p>
    <w:p>
      <w:pPr>
        <w:spacing w:after="0" w:line="26" w:lineRule="exact"/>
        <w:rPr>
          <w:sz w:val="20"/>
          <w:szCs w:val="20"/>
          <w:color w:val="auto"/>
        </w:rPr>
      </w:pPr>
    </w:p>
    <w:p>
      <w:pPr>
        <w:sectPr>
          <w:pgSz w:w="11900" w:h="16838" w:orient="portrait"/>
          <w:cols w:equalWidth="0" w:num="2">
            <w:col w:w="8020" w:space="600"/>
            <w:col w:w="262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374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2023</w:t>
            </w:r>
          </w:p>
        </w:tc>
        <w:tc>
          <w:tcPr>
            <w:tcW w:w="6640" w:type="dxa"/>
            <w:vAlign w:val="bottom"/>
            <w:tcBorders>
              <w:top w:val="single" w:sz="8" w:color="auto"/>
            </w:tcBorders>
            <w:gridSpan w:val="2"/>
            <w:shd w:val="clear" w:color="auto" w:fill="CCEEFF"/>
          </w:tcPr>
          <w:p>
            <w:pPr>
              <w:jc w:val="right"/>
              <w:ind w:right="3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2,877</w:t>
            </w:r>
          </w:p>
        </w:tc>
      </w:tr>
      <w:tr>
        <w:trPr>
          <w:trHeight w:val="189"/>
        </w:trPr>
        <w:tc>
          <w:tcPr>
            <w:tcW w:w="3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2024</w:t>
            </w:r>
          </w:p>
        </w:tc>
        <w:tc>
          <w:tcPr>
            <w:tcW w:w="33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2,348</w:t>
            </w:r>
          </w:p>
        </w:tc>
      </w:tr>
      <w:tr>
        <w:trPr>
          <w:trHeight w:val="189"/>
        </w:trPr>
        <w:tc>
          <w:tcPr>
            <w:tcW w:w="37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2025</w:t>
            </w:r>
          </w:p>
        </w:tc>
        <w:tc>
          <w:tcPr>
            <w:tcW w:w="3340" w:type="dxa"/>
            <w:vAlign w:val="bottom"/>
            <w:shd w:val="clear" w:color="auto" w:fill="CCEEFF"/>
          </w:tcPr>
          <w:p>
            <w:pPr>
              <w:spacing w:after="0"/>
              <w:rPr>
                <w:sz w:val="16"/>
                <w:szCs w:val="16"/>
                <w:color w:val="auto"/>
              </w:rPr>
            </w:pPr>
          </w:p>
        </w:tc>
        <w:tc>
          <w:tcPr>
            <w:tcW w:w="33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2,315</w:t>
            </w:r>
          </w:p>
        </w:tc>
      </w:tr>
      <w:tr>
        <w:trPr>
          <w:trHeight w:val="189"/>
        </w:trPr>
        <w:tc>
          <w:tcPr>
            <w:tcW w:w="3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33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2,366</w:t>
            </w:r>
          </w:p>
        </w:tc>
      </w:tr>
      <w:tr>
        <w:trPr>
          <w:trHeight w:val="189"/>
        </w:trPr>
        <w:tc>
          <w:tcPr>
            <w:tcW w:w="37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2027</w:t>
            </w:r>
          </w:p>
        </w:tc>
        <w:tc>
          <w:tcPr>
            <w:tcW w:w="3340" w:type="dxa"/>
            <w:vAlign w:val="bottom"/>
            <w:shd w:val="clear" w:color="auto" w:fill="CCEEFF"/>
          </w:tcPr>
          <w:p>
            <w:pPr>
              <w:spacing w:after="0"/>
              <w:rPr>
                <w:sz w:val="16"/>
                <w:szCs w:val="16"/>
                <w:color w:val="auto"/>
              </w:rPr>
            </w:pPr>
          </w:p>
        </w:tc>
        <w:tc>
          <w:tcPr>
            <w:tcW w:w="33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2,377</w:t>
            </w:r>
          </w:p>
        </w:tc>
      </w:tr>
      <w:tr>
        <w:trPr>
          <w:trHeight w:val="196"/>
        </w:trPr>
        <w:tc>
          <w:tcPr>
            <w:tcW w:w="374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Thereafter</w:t>
            </w:r>
          </w:p>
        </w:tc>
        <w:tc>
          <w:tcPr>
            <w:tcW w:w="3340" w:type="dxa"/>
            <w:vAlign w:val="bottom"/>
            <w:tcBorders>
              <w:bottom w:val="single" w:sz="8" w:color="CCEEFF"/>
            </w:tcBorders>
          </w:tcPr>
          <w:p>
            <w:pPr>
              <w:spacing w:after="0"/>
              <w:rPr>
                <w:sz w:val="17"/>
                <w:szCs w:val="17"/>
                <w:color w:val="auto"/>
              </w:rPr>
            </w:pPr>
          </w:p>
        </w:tc>
        <w:tc>
          <w:tcPr>
            <w:tcW w:w="3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14,342</w:t>
            </w:r>
          </w:p>
        </w:tc>
      </w:tr>
      <w:tr>
        <w:trPr>
          <w:trHeight w:val="189"/>
        </w:trPr>
        <w:tc>
          <w:tcPr>
            <w:tcW w:w="374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Total lease payments</w:t>
            </w:r>
          </w:p>
        </w:tc>
        <w:tc>
          <w:tcPr>
            <w:tcW w:w="3340" w:type="dxa"/>
            <w:vAlign w:val="bottom"/>
            <w:shd w:val="clear" w:color="auto" w:fill="CCEEFF"/>
          </w:tcPr>
          <w:p>
            <w:pPr>
              <w:spacing w:after="0"/>
              <w:rPr>
                <w:sz w:val="16"/>
                <w:szCs w:val="16"/>
                <w:color w:val="auto"/>
              </w:rPr>
            </w:pPr>
          </w:p>
        </w:tc>
        <w:tc>
          <w:tcPr>
            <w:tcW w:w="33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26,625</w:t>
            </w:r>
          </w:p>
        </w:tc>
      </w:tr>
      <w:tr>
        <w:trPr>
          <w:trHeight w:val="196"/>
        </w:trPr>
        <w:tc>
          <w:tcPr>
            <w:tcW w:w="374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Less: imputed interest</w:t>
            </w:r>
          </w:p>
        </w:tc>
        <w:tc>
          <w:tcPr>
            <w:tcW w:w="3340" w:type="dxa"/>
            <w:vAlign w:val="bottom"/>
            <w:tcBorders>
              <w:bottom w:val="single" w:sz="8" w:color="CCEEFF"/>
            </w:tcBorders>
          </w:tcPr>
          <w:p>
            <w:pPr>
              <w:spacing w:after="0"/>
              <w:rPr>
                <w:sz w:val="17"/>
                <w:szCs w:val="17"/>
                <w:color w:val="auto"/>
              </w:rPr>
            </w:pPr>
          </w:p>
        </w:tc>
        <w:tc>
          <w:tcPr>
            <w:tcW w:w="3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8,532</w:t>
            </w:r>
          </w:p>
        </w:tc>
      </w:tr>
      <w:tr>
        <w:trPr>
          <w:trHeight w:val="189"/>
        </w:trPr>
        <w:tc>
          <w:tcPr>
            <w:tcW w:w="3740" w:type="dxa"/>
            <w:vAlign w:val="bottom"/>
            <w:tcBorders>
              <w:bottom w:val="single" w:sz="8" w:color="CCEEFF"/>
            </w:tcBorders>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Total lease liabilities</w:t>
            </w:r>
          </w:p>
        </w:tc>
        <w:tc>
          <w:tcPr>
            <w:tcW w:w="3340" w:type="dxa"/>
            <w:vAlign w:val="bottom"/>
            <w:tcBorders>
              <w:bottom w:val="single" w:sz="8" w:color="CCEEFF"/>
            </w:tcBorders>
            <w:shd w:val="clear" w:color="auto" w:fill="CCEEFF"/>
          </w:tcPr>
          <w:p>
            <w:pPr>
              <w:spacing w:after="0"/>
              <w:rPr>
                <w:sz w:val="16"/>
                <w:szCs w:val="16"/>
                <w:color w:val="auto"/>
              </w:rPr>
            </w:pPr>
          </w:p>
        </w:tc>
        <w:tc>
          <w:tcPr>
            <w:tcW w:w="3300" w:type="dxa"/>
            <w:vAlign w:val="bottom"/>
            <w:tcBorders>
              <w:bottom w:val="single" w:sz="8" w:color="auto"/>
            </w:tcBorders>
            <w:shd w:val="clear" w:color="auto" w:fill="CCEEFF"/>
          </w:tcPr>
          <w:p>
            <w:pPr>
              <w:jc w:val="right"/>
              <w:ind w:right="31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18,093</w:t>
            </w:r>
          </w:p>
        </w:tc>
      </w:tr>
      <w:tr>
        <w:trPr>
          <w:trHeight w:val="20"/>
        </w:trPr>
        <w:tc>
          <w:tcPr>
            <w:tcW w:w="37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899"/>
        </w:trPr>
        <w:tc>
          <w:tcPr>
            <w:tcW w:w="3740" w:type="dxa"/>
            <w:vAlign w:val="bottom"/>
          </w:tcPr>
          <w:p>
            <w:pPr>
              <w:spacing w:after="0"/>
              <w:rPr>
                <w:sz w:val="24"/>
                <w:szCs w:val="24"/>
                <w:color w:val="auto"/>
              </w:rPr>
            </w:pPr>
          </w:p>
        </w:tc>
        <w:tc>
          <w:tcPr>
            <w:tcW w:w="6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DallasNews Corporation 2022 Annual Report on Form 10-K</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 38</w:t>
            </w:r>
          </w:p>
        </w:tc>
      </w:tr>
      <w:tr>
        <w:trPr>
          <w:trHeight w:val="344"/>
        </w:trPr>
        <w:tc>
          <w:tcPr>
            <w:tcW w:w="374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Note 4: Income Taxes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Company’s income tax provision (benefit).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780" w:type="dxa"/>
            <w:vAlign w:val="bottom"/>
            <w:tcBorders>
              <w:top w:val="single" w:sz="8" w:color="auto"/>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i w:val="1"/>
                <w:iCs w:val="1"/>
                <w:color w:val="auto"/>
              </w:rPr>
              <w:t>Years Ended December 31,</w:t>
            </w:r>
          </w:p>
        </w:tc>
        <w:tc>
          <w:tcPr>
            <w:tcW w:w="580" w:type="dxa"/>
            <w:vAlign w:val="bottom"/>
            <w:tcBorders>
              <w:top w:val="single" w:sz="8" w:color="auto"/>
              <w:bottom w:val="single" w:sz="8" w:color="auto"/>
            </w:tcBorders>
          </w:tcPr>
          <w:p>
            <w:pPr>
              <w:spacing w:after="0"/>
              <w:rPr>
                <w:sz w:val="17"/>
                <w:szCs w:val="17"/>
                <w:color w:val="auto"/>
              </w:rPr>
            </w:pPr>
          </w:p>
        </w:tc>
      </w:tr>
      <w:tr>
        <w:trPr>
          <w:trHeight w:val="183"/>
        </w:trPr>
        <w:tc>
          <w:tcPr>
            <w:tcW w:w="514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58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2021</w:t>
            </w:r>
          </w:p>
        </w:tc>
        <w:tc>
          <w:tcPr>
            <w:tcW w:w="580" w:type="dxa"/>
            <w:vAlign w:val="bottom"/>
            <w:tcBorders>
              <w:bottom w:val="single" w:sz="8" w:color="auto"/>
            </w:tcBorders>
          </w:tcPr>
          <w:p>
            <w:pPr>
              <w:spacing w:after="0"/>
              <w:rPr>
                <w:sz w:val="15"/>
                <w:szCs w:val="15"/>
                <w:color w:val="auto"/>
              </w:rPr>
            </w:pPr>
          </w:p>
        </w:tc>
      </w:tr>
      <w:tr>
        <w:trPr>
          <w:trHeight w:val="189"/>
        </w:trPr>
        <w:tc>
          <w:tcPr>
            <w:tcW w:w="51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Current</w:t>
            </w:r>
          </w:p>
        </w:tc>
        <w:tc>
          <w:tcPr>
            <w:tcW w:w="27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189"/>
        </w:trPr>
        <w:tc>
          <w:tcPr>
            <w:tcW w:w="514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Federal</w:t>
            </w:r>
          </w:p>
        </w:tc>
        <w:tc>
          <w:tcPr>
            <w:tcW w:w="3760" w:type="dxa"/>
            <w:vAlign w:val="bottom"/>
            <w:gridSpan w:val="2"/>
          </w:tcPr>
          <w:p>
            <w:pPr>
              <w:jc w:val="right"/>
              <w:ind w:right="864"/>
              <w:spacing w:after="0" w:line="189"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820"/>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(2,575)</w:t>
            </w:r>
          </w:p>
        </w:tc>
      </w:tr>
      <w:tr>
        <w:trPr>
          <w:trHeight w:val="209"/>
        </w:trPr>
        <w:tc>
          <w:tcPr>
            <w:tcW w:w="5140" w:type="dxa"/>
            <w:vAlign w:val="bottom"/>
            <w:tcBorders>
              <w:bottom w:val="single" w:sz="8" w:color="CCEEFF"/>
            </w:tcBorders>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State</w:t>
            </w:r>
          </w:p>
        </w:tc>
        <w:tc>
          <w:tcPr>
            <w:tcW w:w="27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583</w:t>
            </w: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604</w:t>
            </w:r>
          </w:p>
        </w:tc>
      </w:tr>
      <w:tr>
        <w:trPr>
          <w:trHeight w:val="183"/>
        </w:trPr>
        <w:tc>
          <w:tcPr>
            <w:tcW w:w="5140" w:type="dxa"/>
            <w:vAlign w:val="bottom"/>
            <w:tcBorders>
              <w:bottom w:val="single" w:sz="8" w:color="CCEEFF"/>
            </w:tcBorders>
          </w:tcPr>
          <w:p>
            <w:pPr>
              <w:ind w:left="440"/>
              <w:spacing w:after="0" w:line="176" w:lineRule="exact"/>
              <w:rPr>
                <w:sz w:val="20"/>
                <w:szCs w:val="20"/>
                <w:color w:val="auto"/>
              </w:rPr>
            </w:pPr>
            <w:r>
              <w:rPr>
                <w:rFonts w:ascii="Times New Roman" w:cs="Times New Roman" w:eastAsia="Times New Roman" w:hAnsi="Times New Roman"/>
                <w:sz w:val="18"/>
                <w:szCs w:val="18"/>
                <w:color w:val="auto"/>
              </w:rPr>
              <w:t>Total current</w:t>
            </w:r>
          </w:p>
        </w:tc>
        <w:tc>
          <w:tcPr>
            <w:tcW w:w="274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583</w:t>
            </w:r>
          </w:p>
        </w:tc>
        <w:tc>
          <w:tcPr>
            <w:tcW w:w="2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(1,971)</w:t>
            </w:r>
          </w:p>
        </w:tc>
      </w:tr>
      <w:tr>
        <w:trPr>
          <w:trHeight w:val="189"/>
        </w:trPr>
        <w:tc>
          <w:tcPr>
            <w:tcW w:w="51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Deferred</w:t>
            </w:r>
          </w:p>
        </w:tc>
        <w:tc>
          <w:tcPr>
            <w:tcW w:w="27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189"/>
        </w:trPr>
        <w:tc>
          <w:tcPr>
            <w:tcW w:w="514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Federal</w:t>
            </w:r>
          </w:p>
        </w:tc>
        <w:tc>
          <w:tcPr>
            <w:tcW w:w="2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8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(1,985)</w:t>
            </w:r>
          </w:p>
        </w:tc>
        <w:tc>
          <w:tcPr>
            <w:tcW w:w="98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(571)</w:t>
            </w:r>
          </w:p>
        </w:tc>
      </w:tr>
      <w:tr>
        <w:trPr>
          <w:trHeight w:val="209"/>
        </w:trPr>
        <w:tc>
          <w:tcPr>
            <w:tcW w:w="514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State</w:t>
            </w:r>
          </w:p>
        </w:tc>
        <w:tc>
          <w:tcPr>
            <w:tcW w:w="2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(28)</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(180)</w:t>
            </w:r>
          </w:p>
        </w:tc>
      </w:tr>
      <w:tr>
        <w:trPr>
          <w:trHeight w:val="183"/>
        </w:trPr>
        <w:tc>
          <w:tcPr>
            <w:tcW w:w="5140" w:type="dxa"/>
            <w:vAlign w:val="bottom"/>
            <w:tcBorders>
              <w:top w:val="single" w:sz="8" w:color="CCEEFF"/>
              <w:bottom w:val="single" w:sz="8" w:color="CCEEFF"/>
            </w:tcBorders>
          </w:tcPr>
          <w:p>
            <w:pPr>
              <w:ind w:left="440"/>
              <w:spacing w:after="0" w:line="176" w:lineRule="exact"/>
              <w:rPr>
                <w:sz w:val="20"/>
                <w:szCs w:val="20"/>
                <w:color w:val="auto"/>
              </w:rPr>
            </w:pPr>
            <w:r>
              <w:rPr>
                <w:rFonts w:ascii="Times New Roman" w:cs="Times New Roman" w:eastAsia="Times New Roman" w:hAnsi="Times New Roman"/>
                <w:sz w:val="18"/>
                <w:szCs w:val="18"/>
                <w:color w:val="auto"/>
              </w:rPr>
              <w:t>Total deferred</w:t>
            </w:r>
          </w:p>
        </w:tc>
        <w:tc>
          <w:tcPr>
            <w:tcW w:w="2740" w:type="dxa"/>
            <w:vAlign w:val="bottom"/>
            <w:tcBorders>
              <w:top w:val="single" w:sz="8" w:color="CCEEFF"/>
              <w:bottom w:val="single" w:sz="8" w:color="CCEEFF"/>
            </w:tcBorders>
          </w:tcPr>
          <w:p>
            <w:pPr>
              <w:spacing w:after="0"/>
              <w:rPr>
                <w:sz w:val="15"/>
                <w:szCs w:val="15"/>
                <w:color w:val="auto"/>
              </w:rPr>
            </w:pPr>
          </w:p>
        </w:tc>
        <w:tc>
          <w:tcPr>
            <w:tcW w:w="102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(2,013)</w:t>
            </w:r>
          </w:p>
        </w:tc>
        <w:tc>
          <w:tcPr>
            <w:tcW w:w="200" w:type="dxa"/>
            <w:vAlign w:val="bottom"/>
            <w:tcBorders>
              <w:top w:val="single" w:sz="8" w:color="CCEEFF"/>
              <w:bottom w:val="single" w:sz="8" w:color="CCEEFF"/>
            </w:tcBorders>
          </w:tcPr>
          <w:p>
            <w:pPr>
              <w:spacing w:after="0"/>
              <w:rPr>
                <w:sz w:val="15"/>
                <w:szCs w:val="15"/>
                <w:color w:val="auto"/>
              </w:rPr>
            </w:pPr>
          </w:p>
        </w:tc>
        <w:tc>
          <w:tcPr>
            <w:tcW w:w="98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(751)</w:t>
            </w:r>
          </w:p>
        </w:tc>
      </w:tr>
      <w:tr>
        <w:trPr>
          <w:trHeight w:val="209"/>
        </w:trPr>
        <w:tc>
          <w:tcPr>
            <w:tcW w:w="5140" w:type="dxa"/>
            <w:vAlign w:val="bottom"/>
            <w:tcBorders>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Valuation Allowance</w:t>
            </w:r>
          </w:p>
        </w:tc>
        <w:tc>
          <w:tcPr>
            <w:tcW w:w="27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1,988</w:t>
            </w: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571</w:t>
            </w:r>
          </w:p>
        </w:tc>
      </w:tr>
      <w:tr>
        <w:trPr>
          <w:trHeight w:val="176"/>
        </w:trPr>
        <w:tc>
          <w:tcPr>
            <w:tcW w:w="514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Income Tax Provision (Benefit)</w:t>
            </w:r>
          </w:p>
        </w:tc>
        <w:tc>
          <w:tcPr>
            <w:tcW w:w="2740" w:type="dxa"/>
            <w:vAlign w:val="bottom"/>
          </w:tcPr>
          <w:p>
            <w:pPr>
              <w:spacing w:after="0"/>
              <w:rPr>
                <w:sz w:val="15"/>
                <w:szCs w:val="15"/>
                <w:color w:val="auto"/>
              </w:rPr>
            </w:pPr>
          </w:p>
        </w:tc>
        <w:tc>
          <w:tcPr>
            <w:tcW w:w="1020" w:type="dxa"/>
            <w:vAlign w:val="bottom"/>
            <w:tcBorders>
              <w:bottom w:val="single" w:sz="8" w:color="auto"/>
            </w:tcBorders>
          </w:tcPr>
          <w:p>
            <w:pPr>
              <w:jc w:val="right"/>
              <w:ind w:right="864"/>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558</w:t>
            </w:r>
          </w:p>
        </w:tc>
        <w:tc>
          <w:tcPr>
            <w:tcW w:w="200" w:type="dxa"/>
            <w:vAlign w:val="bottom"/>
          </w:tcPr>
          <w:p>
            <w:pPr>
              <w:spacing w:after="0"/>
              <w:rPr>
                <w:sz w:val="15"/>
                <w:szCs w:val="15"/>
                <w:color w:val="auto"/>
              </w:rPr>
            </w:pPr>
          </w:p>
        </w:tc>
        <w:tc>
          <w:tcPr>
            <w:tcW w:w="980" w:type="dxa"/>
            <w:vAlign w:val="bottom"/>
            <w:tcBorders>
              <w:bottom w:val="single" w:sz="8" w:color="auto"/>
            </w:tcBorders>
          </w:tcPr>
          <w:p>
            <w:pPr>
              <w:jc w:val="right"/>
              <w:ind w:right="820"/>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(2,151)</w:t>
            </w:r>
          </w:p>
        </w:tc>
      </w:tr>
      <w:tr>
        <w:trPr>
          <w:trHeight w:val="20"/>
        </w:trPr>
        <w:tc>
          <w:tcPr>
            <w:tcW w:w="51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reconciles the income tax benefit computed by applying the applicable United States federal income tax rate to the income tax provision (benefit) computed at the effective income tax rate.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760" w:type="dxa"/>
            <w:vAlign w:val="bottom"/>
            <w:tcBorders>
              <w:top w:val="single" w:sz="8" w:color="auto"/>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i w:val="1"/>
                <w:iCs w:val="1"/>
                <w:color w:val="auto"/>
              </w:rPr>
              <w:t>Years Ended December 31,</w:t>
            </w:r>
          </w:p>
        </w:tc>
        <w:tc>
          <w:tcPr>
            <w:tcW w:w="580" w:type="dxa"/>
            <w:vAlign w:val="bottom"/>
            <w:tcBorders>
              <w:top w:val="single" w:sz="8" w:color="auto"/>
              <w:bottom w:val="single" w:sz="8" w:color="auto"/>
            </w:tcBorders>
          </w:tcPr>
          <w:p>
            <w:pPr>
              <w:spacing w:after="0"/>
              <w:rPr>
                <w:sz w:val="17"/>
                <w:szCs w:val="17"/>
                <w:color w:val="auto"/>
              </w:rPr>
            </w:pPr>
          </w:p>
        </w:tc>
      </w:tr>
      <w:tr>
        <w:trPr>
          <w:trHeight w:val="183"/>
        </w:trPr>
        <w:tc>
          <w:tcPr>
            <w:tcW w:w="540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60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2021</w:t>
            </w:r>
          </w:p>
        </w:tc>
        <w:tc>
          <w:tcPr>
            <w:tcW w:w="580" w:type="dxa"/>
            <w:vAlign w:val="bottom"/>
            <w:tcBorders>
              <w:bottom w:val="single" w:sz="8" w:color="auto"/>
            </w:tcBorders>
          </w:tcPr>
          <w:p>
            <w:pPr>
              <w:spacing w:after="0"/>
              <w:rPr>
                <w:sz w:val="15"/>
                <w:szCs w:val="15"/>
                <w:color w:val="auto"/>
              </w:rPr>
            </w:pPr>
          </w:p>
        </w:tc>
      </w:tr>
      <w:tr>
        <w:trPr>
          <w:trHeight w:val="189"/>
        </w:trPr>
        <w:tc>
          <w:tcPr>
            <w:tcW w:w="54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Computed expected income tax benefit</w:t>
            </w:r>
          </w:p>
        </w:tc>
        <w:tc>
          <w:tcPr>
            <w:tcW w:w="3480" w:type="dxa"/>
            <w:vAlign w:val="bottom"/>
            <w:gridSpan w:val="2"/>
            <w:shd w:val="clear" w:color="auto" w:fill="CCEEFF"/>
          </w:tcPr>
          <w:p>
            <w:pPr>
              <w:jc w:val="right"/>
              <w:ind w:right="802"/>
              <w:spacing w:after="0" w:line="189"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(1,939)</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20"/>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(550)</w:t>
            </w:r>
          </w:p>
        </w:tc>
      </w:tr>
      <w:tr>
        <w:trPr>
          <w:trHeight w:val="189"/>
        </w:trPr>
        <w:tc>
          <w:tcPr>
            <w:tcW w:w="54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State income tax (net of federal benefit)</w:t>
            </w:r>
          </w:p>
        </w:tc>
        <w:tc>
          <w:tcPr>
            <w:tcW w:w="2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460</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534</w:t>
            </w:r>
          </w:p>
        </w:tc>
      </w:tr>
      <w:tr>
        <w:trPr>
          <w:trHeight w:val="189"/>
        </w:trPr>
        <w:tc>
          <w:tcPr>
            <w:tcW w:w="54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Valuation allowance</w:t>
            </w:r>
          </w:p>
        </w:tc>
        <w:tc>
          <w:tcPr>
            <w:tcW w:w="25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1,988</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571</w:t>
            </w:r>
          </w:p>
        </w:tc>
      </w:tr>
      <w:tr>
        <w:trPr>
          <w:trHeight w:val="189"/>
        </w:trPr>
        <w:tc>
          <w:tcPr>
            <w:tcW w:w="54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Nondeductible expenses</w:t>
            </w:r>
          </w:p>
        </w:tc>
        <w:tc>
          <w:tcPr>
            <w:tcW w:w="2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120</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72</w:t>
            </w:r>
          </w:p>
        </w:tc>
      </w:tr>
      <w:tr>
        <w:trPr>
          <w:trHeight w:val="189"/>
        </w:trPr>
        <w:tc>
          <w:tcPr>
            <w:tcW w:w="54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Uncertain tax position reserve</w:t>
            </w:r>
          </w:p>
        </w:tc>
        <w:tc>
          <w:tcPr>
            <w:tcW w:w="25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(2,575)</w:t>
            </w:r>
          </w:p>
        </w:tc>
      </w:tr>
      <w:tr>
        <w:trPr>
          <w:trHeight w:val="189"/>
        </w:trPr>
        <w:tc>
          <w:tcPr>
            <w:tcW w:w="54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Deferred adjustment</w:t>
            </w:r>
          </w:p>
        </w:tc>
        <w:tc>
          <w:tcPr>
            <w:tcW w:w="2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94</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(185)</w:t>
            </w:r>
          </w:p>
        </w:tc>
      </w:tr>
      <w:tr>
        <w:trPr>
          <w:trHeight w:val="209"/>
        </w:trPr>
        <w:tc>
          <w:tcPr>
            <w:tcW w:w="54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2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(165)</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(18)</w:t>
            </w:r>
          </w:p>
        </w:tc>
      </w:tr>
      <w:tr>
        <w:trPr>
          <w:trHeight w:val="216"/>
        </w:trPr>
        <w:tc>
          <w:tcPr>
            <w:tcW w:w="5400" w:type="dxa"/>
            <w:vAlign w:val="bottom"/>
            <w:tcBorders>
              <w:top w:val="single" w:sz="8" w:color="CCEEFF"/>
              <w:bottom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Income tax provision (benefit)</w:t>
            </w:r>
          </w:p>
        </w:tc>
        <w:tc>
          <w:tcPr>
            <w:tcW w:w="2500" w:type="dxa"/>
            <w:vAlign w:val="bottom"/>
            <w:tcBorders>
              <w:top w:val="single" w:sz="8" w:color="CCEEFF"/>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802"/>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558</w:t>
            </w:r>
          </w:p>
        </w:tc>
        <w:tc>
          <w:tcPr>
            <w:tcW w:w="200" w:type="dxa"/>
            <w:vAlign w:val="bottom"/>
            <w:tcBorders>
              <w:top w:val="single" w:sz="8" w:color="CCEEFF"/>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820"/>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(2,151)</w:t>
            </w:r>
          </w:p>
        </w:tc>
      </w:tr>
      <w:tr>
        <w:trPr>
          <w:trHeight w:val="170"/>
        </w:trPr>
        <w:tc>
          <w:tcPr>
            <w:tcW w:w="5400" w:type="dxa"/>
            <w:vAlign w:val="bottom"/>
            <w:tcBorders>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Effective income tax rate</w:t>
            </w:r>
          </w:p>
        </w:tc>
        <w:tc>
          <w:tcPr>
            <w:tcW w:w="25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(6.0)%</w:t>
            </w:r>
          </w:p>
        </w:tc>
        <w:tc>
          <w:tcPr>
            <w:tcW w:w="2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82.2%</w:t>
            </w:r>
          </w:p>
        </w:tc>
      </w:tr>
      <w:tr>
        <w:trPr>
          <w:trHeight w:val="20"/>
        </w:trPr>
        <w:tc>
          <w:tcPr>
            <w:tcW w:w="54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tax provision of $558 recorded in 2022, was due to the effect of the Texas franchise tax.</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 income tax benefit of $(2,151) was recorded in 2021. The benefit was primarily due to the release of $2,575, included in other liabilities, for a federal uncertain tax reserve resulting from the statute of limitations lapsing in August 2021, partially offset by the effect of the Texas franchise tax.</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made income tax payments, net of refunds, of $619 and $666 in 2022 and 2021, respectively.</w:t>
      </w:r>
    </w:p>
    <w:p>
      <w:pPr>
        <w:spacing w:after="0" w:line="185"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The American Rescue Plan Act of 2021 (the “ARP Act”), was passed and signed into law on March 11, 2021, and was designed to speed up the United States’ economic recovery. The ARP Act contains many provisions, including direct cash payments to eligible taxpayers below specified income limits, extended unemployment insurance benefits, additional relief designed to prevent layoffs and business closures at small businesses, and pension relief provisions. The pension relief provisions include extending the interest rate relief passed in previous years, permanently adding a floor to funding interest rates, and permanently changing the amortization period for pension underfunding from 7 to 15 years. All provisions are required to be effective for plan years beginning in 2022, but plan sponsors can elect certain provisions to apply to plan years beginning as early as 2019. The Company benefited from the shortfall amortization relief provisions and the segment interest rate relief provisions contained in the ARP Act effective for the 2020 plan year.</w:t>
      </w:r>
    </w:p>
    <w:p>
      <w:pPr>
        <w:spacing w:after="0" w:line="15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On August 16, 2022, the Inflation Reduction Act (the “Act”) was enacted and signed into law. The Act is a budget reconciliation package that includes significant law changes relating to tax, climate change, energy, and health care. The tax provisions include, among other items, a corporate alternative minimum tax of 15 percent, an excise tax of 1 percent on corporate stock buy-backs, energy-related tax credits, and additional IRS funding. Certain provisions, including the corporate alternative minimum tax and excise tax on corporate stock buy-backs, do not become effective until tax years beginning after December 31, 2022. The U.S. Department of the Treasury and the IRS are expected to release further regulations and interpretive guidance implementing the legislation contained in the Act, but the details and timing of such regulations are subject to uncertainty at this time. The Company continues to evaluate the impacts of this legislation as additional guidance is released; however, it does not expect a material impact on its consolidated financial statements.</w:t>
      </w:r>
    </w:p>
    <w:p>
      <w:pPr>
        <w:spacing w:after="0" w:line="200" w:lineRule="exact"/>
        <w:rPr>
          <w:sz w:val="20"/>
          <w:szCs w:val="20"/>
          <w:color w:val="auto"/>
        </w:rPr>
      </w:pPr>
    </w:p>
    <w:p>
      <w:pPr>
        <w:spacing w:after="0" w:line="268" w:lineRule="exact"/>
        <w:rPr>
          <w:sz w:val="20"/>
          <w:szCs w:val="20"/>
          <w:color w:val="auto"/>
        </w:rPr>
      </w:pPr>
    </w:p>
    <w:p>
      <w:pPr>
        <w:jc w:val="right"/>
        <w:spacing w:after="0"/>
        <w:tabs>
          <w:tab w:leader="none" w:pos="700" w:val="left"/>
        </w:tabs>
        <w:rPr>
          <w:sz w:val="20"/>
          <w:szCs w:val="20"/>
          <w:color w:val="auto"/>
        </w:rPr>
      </w:pPr>
      <w:r>
        <w:rPr>
          <w:rFonts w:ascii="Times New Roman" w:cs="Times New Roman" w:eastAsia="Times New Roman" w:hAnsi="Times New Roman"/>
          <w:sz w:val="18"/>
          <w:szCs w:val="18"/>
          <w:color w:val="auto"/>
        </w:rPr>
        <w:t>DallasNews Corporation 2022 Annual Report on Form 10-K</w:t>
      </w:r>
      <w:r>
        <w:rPr>
          <w:sz w:val="20"/>
          <w:szCs w:val="20"/>
          <w:color w:val="auto"/>
        </w:rPr>
        <w:tab/>
      </w:r>
      <w:r>
        <w:rPr>
          <w:rFonts w:ascii="Times New Roman" w:cs="Times New Roman" w:eastAsia="Times New Roman" w:hAnsi="Times New Roman"/>
          <w:sz w:val="17"/>
          <w:szCs w:val="17"/>
          <w:b w:val="1"/>
          <w:bCs w:val="1"/>
          <w:color w:val="auto"/>
        </w:rPr>
        <w:t>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221615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significant components of the Company’s deferred tax assets and liabilities.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6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gridSpan w:val="4"/>
          </w:tcPr>
          <w:p>
            <w:pPr>
              <w:jc w:val="right"/>
              <w:ind w:right="44"/>
              <w:spacing w:after="0"/>
              <w:rPr>
                <w:sz w:val="20"/>
                <w:szCs w:val="20"/>
                <w:color w:val="auto"/>
              </w:rPr>
            </w:pPr>
            <w:r>
              <w:rPr>
                <w:rFonts w:ascii="Times New Roman" w:cs="Times New Roman" w:eastAsia="Times New Roman" w:hAnsi="Times New Roman"/>
                <w:sz w:val="14"/>
                <w:szCs w:val="14"/>
                <w:b w:val="1"/>
                <w:bCs w:val="1"/>
                <w:i w:val="1"/>
                <w:iCs w:val="1"/>
                <w:color w:val="auto"/>
              </w:rPr>
              <w:t>December 31,</w:t>
            </w:r>
          </w:p>
        </w:tc>
        <w:tc>
          <w:tcPr>
            <w:tcW w:w="940" w:type="dxa"/>
            <w:vAlign w:val="bottom"/>
            <w:tcBorders>
              <w:top w:val="single" w:sz="8" w:color="auto"/>
              <w:bottom w:val="single" w:sz="8" w:color="auto"/>
            </w:tcBorders>
          </w:tcPr>
          <w:p>
            <w:pPr>
              <w:spacing w:after="0"/>
              <w:rPr>
                <w:sz w:val="17"/>
                <w:szCs w:val="17"/>
                <w:color w:val="auto"/>
              </w:rPr>
            </w:pPr>
          </w:p>
        </w:tc>
      </w:tr>
      <w:tr>
        <w:trPr>
          <w:trHeight w:val="169"/>
        </w:trPr>
        <w:tc>
          <w:tcPr>
            <w:tcW w:w="8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i w:val="1"/>
                <w:iCs w:val="1"/>
                <w:color w:val="auto"/>
              </w:rPr>
              <w:t>2021</w:t>
            </w:r>
          </w:p>
        </w:tc>
      </w:tr>
      <w:tr>
        <w:trPr>
          <w:trHeight w:val="189"/>
        </w:trPr>
        <w:tc>
          <w:tcPr>
            <w:tcW w:w="83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Gross Deferred Tax Assets: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9"/>
        </w:trPr>
        <w:tc>
          <w:tcPr>
            <w:tcW w:w="836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Defined benefit plans</w:t>
            </w:r>
          </w:p>
        </w:tc>
        <w:tc>
          <w:tcPr>
            <w:tcW w:w="300" w:type="dxa"/>
            <w:vAlign w:val="bottom"/>
          </w:tcPr>
          <w:p>
            <w:pPr>
              <w:jc w:val="right"/>
              <w:ind w:right="13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4,088</w:t>
            </w:r>
          </w:p>
        </w:tc>
        <w:tc>
          <w:tcPr>
            <w:tcW w:w="160" w:type="dxa"/>
            <w:vAlign w:val="bottom"/>
          </w:tcPr>
          <w:p>
            <w:pPr>
              <w:spacing w:after="0"/>
              <w:rPr>
                <w:sz w:val="16"/>
                <w:szCs w:val="16"/>
                <w:color w:val="auto"/>
              </w:rPr>
            </w:pPr>
          </w:p>
        </w:tc>
        <w:tc>
          <w:tcPr>
            <w:tcW w:w="420" w:type="dxa"/>
            <w:vAlign w:val="bottom"/>
            <w:gridSpan w:val="2"/>
          </w:tcPr>
          <w:p>
            <w:pPr>
              <w:jc w:val="right"/>
              <w:ind w:right="284"/>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2,998</w:t>
            </w:r>
          </w:p>
        </w:tc>
      </w:tr>
      <w:tr>
        <w:trPr>
          <w:trHeight w:val="189"/>
        </w:trPr>
        <w:tc>
          <w:tcPr>
            <w:tcW w:w="836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Investments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114</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87</w:t>
            </w:r>
          </w:p>
        </w:tc>
      </w:tr>
      <w:tr>
        <w:trPr>
          <w:trHeight w:val="189"/>
        </w:trPr>
        <w:tc>
          <w:tcPr>
            <w:tcW w:w="836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Tax depreciation less than book depreciation</w:t>
            </w: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1,107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1,014</w:t>
            </w:r>
          </w:p>
        </w:tc>
      </w:tr>
      <w:tr>
        <w:trPr>
          <w:trHeight w:val="189"/>
        </w:trPr>
        <w:tc>
          <w:tcPr>
            <w:tcW w:w="836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Expenses deductible for tax purposes in a year different from the year accrued</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640</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731</w:t>
            </w:r>
          </w:p>
        </w:tc>
      </w:tr>
      <w:tr>
        <w:trPr>
          <w:trHeight w:val="189"/>
        </w:trPr>
        <w:tc>
          <w:tcPr>
            <w:tcW w:w="836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Lease liability</w:t>
            </w: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3,806</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4,538</w:t>
            </w:r>
          </w:p>
        </w:tc>
      </w:tr>
      <w:tr>
        <w:trPr>
          <w:trHeight w:val="189"/>
        </w:trPr>
        <w:tc>
          <w:tcPr>
            <w:tcW w:w="836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Deferred compensation and benefits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836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Book amortization in excess of tax amortization</w:t>
            </w: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935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987</w:t>
            </w:r>
          </w:p>
        </w:tc>
      </w:tr>
      <w:tr>
        <w:trPr>
          <w:trHeight w:val="189"/>
        </w:trPr>
        <w:tc>
          <w:tcPr>
            <w:tcW w:w="836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State taxes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171</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124</w:t>
            </w:r>
          </w:p>
        </w:tc>
      </w:tr>
      <w:tr>
        <w:trPr>
          <w:trHeight w:val="189"/>
        </w:trPr>
        <w:tc>
          <w:tcPr>
            <w:tcW w:w="836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Net operating loss carryforward</w:t>
            </w: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10,063</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7,114</w:t>
            </w:r>
          </w:p>
        </w:tc>
      </w:tr>
      <w:tr>
        <w:trPr>
          <w:trHeight w:val="209"/>
        </w:trPr>
        <w:tc>
          <w:tcPr>
            <w:tcW w:w="8360" w:type="dxa"/>
            <w:vAlign w:val="bottom"/>
            <w:tcBorders>
              <w:bottom w:val="single" w:sz="8" w:color="CCEEFF"/>
            </w:tcBorders>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316</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349</w:t>
            </w:r>
          </w:p>
        </w:tc>
      </w:tr>
      <w:tr>
        <w:trPr>
          <w:trHeight w:val="176"/>
        </w:trPr>
        <w:tc>
          <w:tcPr>
            <w:tcW w:w="8360" w:type="dxa"/>
            <w:vAlign w:val="bottom"/>
          </w:tcPr>
          <w:p>
            <w:pPr>
              <w:ind w:left="440"/>
              <w:spacing w:after="0" w:line="176" w:lineRule="exact"/>
              <w:rPr>
                <w:sz w:val="20"/>
                <w:szCs w:val="20"/>
                <w:color w:val="auto"/>
              </w:rPr>
            </w:pPr>
            <w:r>
              <w:rPr>
                <w:rFonts w:ascii="Times New Roman" w:cs="Times New Roman" w:eastAsia="Times New Roman" w:hAnsi="Times New Roman"/>
                <w:sz w:val="18"/>
                <w:szCs w:val="18"/>
                <w:color w:val="auto"/>
              </w:rPr>
              <w:t>Total deferred tax assets</w:t>
            </w:r>
          </w:p>
        </w:tc>
        <w:tc>
          <w:tcPr>
            <w:tcW w:w="30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21,280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17,942</w:t>
            </w:r>
          </w:p>
        </w:tc>
      </w:tr>
      <w:tr>
        <w:trPr>
          <w:trHeight w:val="209"/>
        </w:trPr>
        <w:tc>
          <w:tcPr>
            <w:tcW w:w="836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Valuation allowance</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(17,380)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(13,507)</w:t>
            </w:r>
          </w:p>
        </w:tc>
      </w:tr>
      <w:tr>
        <w:trPr>
          <w:trHeight w:val="176"/>
        </w:trPr>
        <w:tc>
          <w:tcPr>
            <w:tcW w:w="8360" w:type="dxa"/>
            <w:vAlign w:val="bottom"/>
            <w:tcBorders>
              <w:top w:val="single" w:sz="8" w:color="CCEEFF"/>
            </w:tcBorders>
          </w:tcPr>
          <w:p>
            <w:pPr>
              <w:ind w:left="440"/>
              <w:spacing w:after="0" w:line="176" w:lineRule="exact"/>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3,900</w:t>
            </w: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4,435</w:t>
            </w:r>
          </w:p>
        </w:tc>
      </w:tr>
      <w:tr>
        <w:trPr>
          <w:trHeight w:val="189"/>
        </w:trPr>
        <w:tc>
          <w:tcPr>
            <w:tcW w:w="83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Gross Deferred Tax Liabilities: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9"/>
        </w:trPr>
        <w:tc>
          <w:tcPr>
            <w:tcW w:w="836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Right-of-use asset</w:t>
            </w:r>
          </w:p>
        </w:tc>
        <w:tc>
          <w:tcPr>
            <w:tcW w:w="300" w:type="dxa"/>
            <w:vAlign w:val="bottom"/>
          </w:tcPr>
          <w:p>
            <w:pPr>
              <w:spacing w:after="0"/>
              <w:rPr>
                <w:sz w:val="16"/>
                <w:szCs w:val="16"/>
                <w:color w:val="auto"/>
              </w:rPr>
            </w:pPr>
          </w:p>
        </w:tc>
        <w:tc>
          <w:tcPr>
            <w:tcW w:w="122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(3,117)</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(3,706)</w:t>
            </w:r>
          </w:p>
        </w:tc>
      </w:tr>
      <w:tr>
        <w:trPr>
          <w:trHeight w:val="209"/>
        </w:trPr>
        <w:tc>
          <w:tcPr>
            <w:tcW w:w="836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(501)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(472)</w:t>
            </w:r>
          </w:p>
        </w:tc>
      </w:tr>
      <w:tr>
        <w:trPr>
          <w:trHeight w:val="176"/>
        </w:trPr>
        <w:tc>
          <w:tcPr>
            <w:tcW w:w="8360" w:type="dxa"/>
            <w:vAlign w:val="bottom"/>
            <w:tcBorders>
              <w:top w:val="single" w:sz="8" w:color="CCEEFF"/>
            </w:tcBorders>
          </w:tcPr>
          <w:p>
            <w:pPr>
              <w:ind w:left="440"/>
              <w:spacing w:after="0" w:line="176" w:lineRule="exact"/>
              <w:rPr>
                <w:sz w:val="20"/>
                <w:szCs w:val="20"/>
                <w:color w:val="auto"/>
              </w:rPr>
            </w:pPr>
            <w:r>
              <w:rPr>
                <w:rFonts w:ascii="Times New Roman" w:cs="Times New Roman" w:eastAsia="Times New Roman" w:hAnsi="Times New Roman"/>
                <w:sz w:val="18"/>
                <w:szCs w:val="18"/>
                <w:color w:val="auto"/>
              </w:rPr>
              <w:t>Total deferred tax liabilities</w:t>
            </w: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(3,618)</w:t>
            </w: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(4,178)</w:t>
            </w:r>
          </w:p>
        </w:tc>
      </w:tr>
      <w:tr>
        <w:trPr>
          <w:trHeight w:val="209"/>
        </w:trPr>
        <w:tc>
          <w:tcPr>
            <w:tcW w:w="83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r>
      <w:tr>
        <w:trPr>
          <w:trHeight w:val="176"/>
        </w:trPr>
        <w:tc>
          <w:tcPr>
            <w:tcW w:w="8360" w:type="dxa"/>
            <w:vAlign w:val="bottom"/>
          </w:tcPr>
          <w:p>
            <w:pPr>
              <w:ind w:left="560"/>
              <w:spacing w:after="0" w:line="176" w:lineRule="exact"/>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300" w:type="dxa"/>
            <w:vAlign w:val="bottom"/>
            <w:tcBorders>
              <w:bottom w:val="single" w:sz="8" w:color="auto"/>
            </w:tcBorders>
          </w:tcPr>
          <w:p>
            <w:pPr>
              <w:jc w:val="right"/>
              <w:ind w:right="136"/>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282</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257</w:t>
            </w:r>
          </w:p>
        </w:tc>
      </w:tr>
      <w:tr>
        <w:trPr>
          <w:trHeight w:val="20"/>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The presentation of net deferred tax assets and liabilities for each jurisdiction are presented as noncurrent within the Company’s Consolidated Balance Sheets. Deferred income tax balances reflect the effects of temporary differences between the carrying amounts of assets and liabilities and their tax bases and are stated at enacted tax rates expected to be in effect when the taxes are actually paid or recovered. The Company recognizes a valuation allowance for deferred tax assets when it is more-likely-than-not that these assets will not be realized. In making this determination, all positive and negative evidence is considered, including future reversals of existing taxable temporary differences, tax planning strategies, future taxable income and taxable income in prior carryback years. In 2022, the valuation allowance increased $3,873, of which $1,886 arose from deferred tax assets related to amounts recorded in accumulated other comprehensive loss that are fully reserved by a valuation allowance. At December 31, 2022, the Company had a federal net operating loss carryforward of $47,395, of which $17,528 expires in 2037 and $29,867 does not have an expiration. The annual utilization of the portion of the federal net operating loss, which does not have an expiration, is limited to 80 percent of taxable income in tax years beginning after January 1, 2021. The Company has a state net operating loss of $2,844, which will begin to expire in 2033.</w:t>
      </w:r>
    </w:p>
    <w:p>
      <w:pPr>
        <w:spacing w:after="0" w:line="16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Uncertain tax positions are evaluated and a liability is recognized for the tax benefit associated with uncertain positions only if it is more-likely-than-not that the positions will not be sustained upon examination by taxing authorities, based on the technical merits of the positions. The Company assesses its filing positions in all significant jurisdictions where it is required to file income tax returns for all open tax years. The Company’s federal income tax return for December 31, 2014 and for tax years subsequent to December 31, 2016 remain subject to examination, and income tax returns in major state income tax jurisdictions where the Company operated remain subject to examination. The statute of limitations associated with the December 31, 2014 federal return was extended in 2020 due to the net operating loss carryback pursuant to the CARES Act. The Company has recorded a reserve for the tax benefit related to uncertain tax positions existing as of December 31, 2022 in other liabilities in the Consolidated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a reconciliation of the beginning and ending amount of unrecognized tax benefit.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3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i w:val="1"/>
                <w:iCs w:val="1"/>
                <w:color w:val="auto"/>
              </w:rPr>
              <w:t>2021</w:t>
            </w:r>
          </w:p>
        </w:tc>
      </w:tr>
      <w:tr>
        <w:trPr>
          <w:trHeight w:val="189"/>
        </w:trPr>
        <w:tc>
          <w:tcPr>
            <w:tcW w:w="59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Balance at January 1</w:t>
            </w:r>
          </w:p>
        </w:tc>
        <w:tc>
          <w:tcPr>
            <w:tcW w:w="3360" w:type="dxa"/>
            <w:vAlign w:val="bottom"/>
            <w:gridSpan w:val="2"/>
            <w:shd w:val="clear" w:color="auto" w:fill="CCEEFF"/>
          </w:tcPr>
          <w:p>
            <w:pPr>
              <w:jc w:val="right"/>
              <w:ind w:right="822"/>
              <w:spacing w:after="0" w:line="189"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66</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2,641</w:t>
            </w:r>
          </w:p>
        </w:tc>
      </w:tr>
      <w:tr>
        <w:trPr>
          <w:trHeight w:val="196"/>
        </w:trPr>
        <w:tc>
          <w:tcPr>
            <w:tcW w:w="594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Decrease related to statute of limitations expiring</w:t>
            </w:r>
          </w:p>
        </w:tc>
        <w:tc>
          <w:tcPr>
            <w:tcW w:w="23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(2,575)</w:t>
            </w:r>
          </w:p>
        </w:tc>
      </w:tr>
      <w:tr>
        <w:trPr>
          <w:trHeight w:val="189"/>
        </w:trPr>
        <w:tc>
          <w:tcPr>
            <w:tcW w:w="5940" w:type="dxa"/>
            <w:vAlign w:val="bottom"/>
            <w:tcBorders>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Balance at December 31</w:t>
            </w:r>
          </w:p>
        </w:tc>
        <w:tc>
          <w:tcPr>
            <w:tcW w:w="23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22"/>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66</w:t>
            </w:r>
          </w:p>
        </w:tc>
        <w:tc>
          <w:tcPr>
            <w:tcW w:w="1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66</w:t>
            </w:r>
          </w:p>
        </w:tc>
      </w:tr>
      <w:tr>
        <w:trPr>
          <w:trHeight w:val="20"/>
        </w:trPr>
        <w:tc>
          <w:tcPr>
            <w:tcW w:w="59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Company recorded interest income (expense) of $(4) and $455 for 2022 and 2021, respectively, and penalty expense of $5 for 2022 and 2021, included in other income (loss), net in the Consolidated Statements of Operations. Accrued interest and penalty at December 31, 2022 and 2021 was $36 and $27, respectively, included in other liabilities in the Consolidated Balance Sheets. In 2021, the Company recorded a tax benefit of $2,575 and $455 of interest income due to the release of a federal uncertain tax reserve and related interest resulting from the statute of limitations lapsing in August 2021.</w:t>
      </w:r>
    </w:p>
    <w:p>
      <w:pPr>
        <w:spacing w:after="0" w:line="86" w:lineRule="exact"/>
        <w:rPr>
          <w:sz w:val="20"/>
          <w:szCs w:val="20"/>
          <w:color w:val="auto"/>
        </w:rPr>
      </w:pPr>
    </w:p>
    <w:p>
      <w:pPr>
        <w:jc w:val="right"/>
        <w:spacing w:after="0"/>
        <w:tabs>
          <w:tab w:leader="none" w:pos="700" w:val="left"/>
        </w:tabs>
        <w:rPr>
          <w:sz w:val="20"/>
          <w:szCs w:val="20"/>
          <w:color w:val="auto"/>
        </w:rPr>
      </w:pPr>
      <w:r>
        <w:rPr>
          <w:rFonts w:ascii="Times New Roman" w:cs="Times New Roman" w:eastAsia="Times New Roman" w:hAnsi="Times New Roman"/>
          <w:sz w:val="18"/>
          <w:szCs w:val="18"/>
          <w:color w:val="auto"/>
        </w:rPr>
        <w:t>DallasNews Corporation 2022 Annual Report on Form 10-K</w:t>
      </w:r>
      <w:r>
        <w:rPr>
          <w:sz w:val="20"/>
          <w:szCs w:val="20"/>
          <w:color w:val="auto"/>
        </w:rPr>
        <w:tab/>
      </w:r>
      <w:r>
        <w:rPr>
          <w:rFonts w:ascii="Times New Roman" w:cs="Times New Roman" w:eastAsia="Times New Roman" w:hAnsi="Times New Roman"/>
          <w:sz w:val="17"/>
          <w:szCs w:val="17"/>
          <w:b w:val="1"/>
          <w:bCs w:val="1"/>
          <w:color w:val="auto"/>
        </w:rPr>
        <w:t>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5: Pension and Other Retirement Plans</w:t>
      </w:r>
    </w:p>
    <w:p>
      <w:pPr>
        <w:spacing w:after="0" w:line="18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Defined Benefit Plans. </w:t>
      </w:r>
      <w:r>
        <w:rPr>
          <w:rFonts w:ascii="Times New Roman" w:cs="Times New Roman" w:eastAsia="Times New Roman" w:hAnsi="Times New Roman"/>
          <w:sz w:val="18"/>
          <w:szCs w:val="18"/>
          <w:color w:val="auto"/>
        </w:rPr>
        <w:t>The Company sponsors the DallasNews Pension Plans (the “Pension Plans”), formerly the A. H. Belo Pension Plans,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provide benefits to approximately 1,350 current and former employees of the Company. DallasNews Pension Plan I provides benefits to certain current and former employees primarily employed with </w:t>
      </w:r>
      <w:r>
        <w:rPr>
          <w:rFonts w:ascii="Times New Roman" w:cs="Times New Roman" w:eastAsia="Times New Roman" w:hAnsi="Times New Roman"/>
          <w:sz w:val="18"/>
          <w:szCs w:val="18"/>
          <w:i w:val="1"/>
          <w:iCs w:val="1"/>
          <w:color w:val="auto"/>
        </w:rPr>
        <w:t>The Dallas Morning News</w:t>
      </w:r>
      <w:r>
        <w:rPr>
          <w:rFonts w:ascii="Times New Roman" w:cs="Times New Roman" w:eastAsia="Times New Roman" w:hAnsi="Times New Roman"/>
          <w:sz w:val="18"/>
          <w:szCs w:val="18"/>
          <w:color w:val="auto"/>
        </w:rPr>
        <w:t xml:space="preserve"> or the DallasNews corporate offices. DallasNews Pension Plan II provides benefits to certain former employees of The Providence Journal Company. This obligation was retained by the Company upon the sale of the newspaper operations of </w:t>
      </w:r>
      <w:r>
        <w:rPr>
          <w:rFonts w:ascii="Times New Roman" w:cs="Times New Roman" w:eastAsia="Times New Roman" w:hAnsi="Times New Roman"/>
          <w:sz w:val="18"/>
          <w:szCs w:val="18"/>
          <w:i w:val="1"/>
          <w:iCs w:val="1"/>
          <w:color w:val="auto"/>
        </w:rPr>
        <w:t>The Providence Journal</w:t>
      </w:r>
      <w:r>
        <w:rPr>
          <w:rFonts w:ascii="Times New Roman" w:cs="Times New Roman" w:eastAsia="Times New Roman" w:hAnsi="Times New Roman"/>
          <w:sz w:val="18"/>
          <w:szCs w:val="18"/>
          <w:color w:val="auto"/>
        </w:rPr>
        <w:t>. No additional benefits are accruing under the DallasNews Pension Plans, as future benefits were frozen.</w:t>
      </w:r>
    </w:p>
    <w:p>
      <w:pPr>
        <w:spacing w:after="0" w:line="160"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The Company is the sole sponsor of the Pension Plans and is required to meet certain pension funding requirements as established under the Employment Retirement Income Security Act (“ERISA”). Instability in global and domestic capital markets may result in low returns on the assets contributed to the Pension Plans. Additionally, low yields on corporate bonds may decrease the discount rate, resulting in a higher funding obligation. Although legislation was enacted into law in 2012, which provided limited funding relief, market conditions could materially increase the funding requirements associated with the Pension Plans, with an adverse effect on the Company’s liquidity and financial condition. The Company was not required to make contributions to the DallasNews Pension Plans in 2022 and 2021 under ERISA. On August 31, 2022, the Company made a board approved voluntary contribution of $5,000 to the Pension Plans, reflected in long-term pension liabilities in the Consolidated Balance Sheet. The Company will continue to evaluate the feasibility of de-risking strategies based on the economic benefits to the Company.</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Actuarial losses of $(9,818) and $(1,358) were recorded to other comprehensive income (loss) in 2022 and 2021, respectively, related to the Pension Plans; see </w:t>
      </w:r>
      <w:r>
        <w:rPr>
          <w:rFonts w:ascii="Times New Roman" w:cs="Times New Roman" w:eastAsia="Times New Roman" w:hAnsi="Times New Roman"/>
          <w:sz w:val="18"/>
          <w:szCs w:val="18"/>
          <w:u w:val="single" w:color="auto"/>
          <w:color w:val="0000FF"/>
        </w:rPr>
        <w:t>Note 6 - Shareholders' Equity</w:t>
      </w:r>
      <w:r>
        <w:rPr>
          <w:rFonts w:ascii="Times New Roman" w:cs="Times New Roman" w:eastAsia="Times New Roman" w:hAnsi="Times New Roman"/>
          <w:sz w:val="18"/>
          <w:szCs w:val="18"/>
          <w:color w:val="auto"/>
        </w:rPr>
        <w:t xml:space="preserve"> for information on amounts recorded to 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-38735</wp:posOffset>
            </wp:positionV>
            <wp:extent cx="135318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6">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summarized financial information about the DallasNews Pension Plans.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0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18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i w:val="1"/>
                <w:iCs w:val="1"/>
                <w:color w:val="auto"/>
              </w:rPr>
              <w:t>2021</w:t>
            </w:r>
          </w:p>
        </w:tc>
        <w:tc>
          <w:tcPr>
            <w:tcW w:w="0" w:type="dxa"/>
            <w:vAlign w:val="bottom"/>
          </w:tcPr>
          <w:p>
            <w:pPr>
              <w:spacing w:after="0"/>
              <w:rPr>
                <w:sz w:val="1"/>
                <w:szCs w:val="1"/>
                <w:color w:val="auto"/>
              </w:rPr>
            </w:pPr>
          </w:p>
        </w:tc>
      </w:tr>
      <w:tr>
        <w:trPr>
          <w:trHeight w:val="189"/>
        </w:trPr>
        <w:tc>
          <w:tcPr>
            <w:tcW w:w="83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Change in Projected Benefit Obligation</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0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Projected benefit obligation at beginning of year</w:t>
            </w:r>
          </w:p>
        </w:tc>
        <w:tc>
          <w:tcPr>
            <w:tcW w:w="320" w:type="dxa"/>
            <w:vAlign w:val="bottom"/>
          </w:tcPr>
          <w:p>
            <w:pPr>
              <w:jc w:val="right"/>
              <w:ind w:right="1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219,364</w:t>
            </w:r>
          </w:p>
        </w:tc>
        <w:tc>
          <w:tcPr>
            <w:tcW w:w="180" w:type="dxa"/>
            <w:vAlign w:val="bottom"/>
          </w:tcPr>
          <w:p>
            <w:pPr>
              <w:spacing w:after="0"/>
              <w:rPr>
                <w:sz w:val="16"/>
                <w:szCs w:val="16"/>
                <w:color w:val="auto"/>
              </w:rPr>
            </w:pPr>
          </w:p>
        </w:tc>
        <w:tc>
          <w:tcPr>
            <w:tcW w:w="320" w:type="dxa"/>
            <w:vAlign w:val="bottom"/>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233,640</w:t>
            </w:r>
          </w:p>
        </w:tc>
        <w:tc>
          <w:tcPr>
            <w:tcW w:w="0" w:type="dxa"/>
            <w:vAlign w:val="bottom"/>
          </w:tcPr>
          <w:p>
            <w:pPr>
              <w:spacing w:after="0"/>
              <w:rPr>
                <w:sz w:val="1"/>
                <w:szCs w:val="1"/>
                <w:color w:val="auto"/>
              </w:rPr>
            </w:pPr>
          </w:p>
        </w:tc>
      </w:tr>
      <w:tr>
        <w:trPr>
          <w:trHeight w:val="189"/>
        </w:trPr>
        <w:tc>
          <w:tcPr>
            <w:tcW w:w="830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Interest cost</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5,311</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4,697</w:t>
            </w:r>
          </w:p>
        </w:tc>
        <w:tc>
          <w:tcPr>
            <w:tcW w:w="0" w:type="dxa"/>
            <w:vAlign w:val="bottom"/>
          </w:tcPr>
          <w:p>
            <w:pPr>
              <w:spacing w:after="0"/>
              <w:rPr>
                <w:sz w:val="1"/>
                <w:szCs w:val="1"/>
                <w:color w:val="auto"/>
              </w:rPr>
            </w:pPr>
          </w:p>
        </w:tc>
      </w:tr>
      <w:tr>
        <w:trPr>
          <w:trHeight w:val="189"/>
        </w:trPr>
        <w:tc>
          <w:tcPr>
            <w:tcW w:w="830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Actuarial gain</w:t>
            </w:r>
          </w:p>
        </w:tc>
        <w:tc>
          <w:tcPr>
            <w:tcW w:w="320" w:type="dxa"/>
            <w:vAlign w:val="bottom"/>
          </w:tcPr>
          <w:p>
            <w:pPr>
              <w:spacing w:after="0"/>
              <w:rPr>
                <w:sz w:val="16"/>
                <w:szCs w:val="16"/>
                <w:color w:val="auto"/>
              </w:rPr>
            </w:pPr>
          </w:p>
        </w:tc>
        <w:tc>
          <w:tcPr>
            <w:tcW w:w="124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(42,425)</w:t>
            </w:r>
          </w:p>
        </w:tc>
        <w:tc>
          <w:tcPr>
            <w:tcW w:w="32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(6,477)</w:t>
            </w:r>
          </w:p>
        </w:tc>
        <w:tc>
          <w:tcPr>
            <w:tcW w:w="0" w:type="dxa"/>
            <w:vAlign w:val="bottom"/>
          </w:tcPr>
          <w:p>
            <w:pPr>
              <w:spacing w:after="0"/>
              <w:rPr>
                <w:sz w:val="1"/>
                <w:szCs w:val="1"/>
                <w:color w:val="auto"/>
              </w:rPr>
            </w:pPr>
          </w:p>
        </w:tc>
      </w:tr>
      <w:tr>
        <w:trPr>
          <w:trHeight w:val="209"/>
        </w:trPr>
        <w:tc>
          <w:tcPr>
            <w:tcW w:w="830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Benefit payments</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(12,706)</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(12,496)</w:t>
            </w:r>
          </w:p>
        </w:tc>
        <w:tc>
          <w:tcPr>
            <w:tcW w:w="0" w:type="dxa"/>
            <w:vAlign w:val="bottom"/>
          </w:tcPr>
          <w:p>
            <w:pPr>
              <w:spacing w:after="0"/>
              <w:rPr>
                <w:sz w:val="1"/>
                <w:szCs w:val="1"/>
                <w:color w:val="auto"/>
              </w:rPr>
            </w:pPr>
          </w:p>
        </w:tc>
      </w:tr>
      <w:tr>
        <w:trPr>
          <w:trHeight w:val="183"/>
        </w:trPr>
        <w:tc>
          <w:tcPr>
            <w:tcW w:w="8300" w:type="dxa"/>
            <w:vAlign w:val="bottom"/>
            <w:tcBorders>
              <w:top w:val="single" w:sz="8" w:color="CCEEFF"/>
              <w:bottom w:val="single" w:sz="8" w:color="CCEEFF"/>
            </w:tcBorders>
          </w:tcPr>
          <w:p>
            <w:pPr>
              <w:ind w:left="120"/>
              <w:spacing w:after="0" w:line="176" w:lineRule="exact"/>
              <w:rPr>
                <w:sz w:val="20"/>
                <w:szCs w:val="20"/>
                <w:color w:val="auto"/>
              </w:rPr>
            </w:pPr>
            <w:r>
              <w:rPr>
                <w:rFonts w:ascii="Times New Roman" w:cs="Times New Roman" w:eastAsia="Times New Roman" w:hAnsi="Times New Roman"/>
                <w:sz w:val="18"/>
                <w:szCs w:val="18"/>
                <w:color w:val="auto"/>
              </w:rPr>
              <w:t>Projected benefit obligation at end of year</w:t>
            </w: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169,544</w:t>
            </w:r>
          </w:p>
        </w:tc>
        <w:tc>
          <w:tcPr>
            <w:tcW w:w="180" w:type="dxa"/>
            <w:vAlign w:val="bottom"/>
            <w:tcBorders>
              <w:top w:val="single" w:sz="8" w:color="CCEEFF"/>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219,364</w:t>
            </w:r>
          </w:p>
        </w:tc>
        <w:tc>
          <w:tcPr>
            <w:tcW w:w="0" w:type="dxa"/>
            <w:vAlign w:val="bottom"/>
          </w:tcPr>
          <w:p>
            <w:pPr>
              <w:spacing w:after="0"/>
              <w:rPr>
                <w:sz w:val="1"/>
                <w:szCs w:val="1"/>
                <w:color w:val="auto"/>
              </w:rPr>
            </w:pPr>
          </w:p>
        </w:tc>
      </w:tr>
      <w:tr>
        <w:trPr>
          <w:trHeight w:val="189"/>
        </w:trPr>
        <w:tc>
          <w:tcPr>
            <w:tcW w:w="83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Change in Plan Assets</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0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32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205,089</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215,120</w:t>
            </w:r>
          </w:p>
        </w:tc>
        <w:tc>
          <w:tcPr>
            <w:tcW w:w="0" w:type="dxa"/>
            <w:vAlign w:val="bottom"/>
          </w:tcPr>
          <w:p>
            <w:pPr>
              <w:spacing w:after="0"/>
              <w:rPr>
                <w:sz w:val="1"/>
                <w:szCs w:val="1"/>
                <w:color w:val="auto"/>
              </w:rPr>
            </w:pPr>
          </w:p>
        </w:tc>
      </w:tr>
      <w:tr>
        <w:trPr>
          <w:trHeight w:val="189"/>
        </w:trPr>
        <w:tc>
          <w:tcPr>
            <w:tcW w:w="830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Return on plan assets</w:t>
            </w: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(47,294)</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2,465</w:t>
            </w:r>
          </w:p>
        </w:tc>
        <w:tc>
          <w:tcPr>
            <w:tcW w:w="0" w:type="dxa"/>
            <w:vAlign w:val="bottom"/>
          </w:tcPr>
          <w:p>
            <w:pPr>
              <w:spacing w:after="0"/>
              <w:rPr>
                <w:sz w:val="1"/>
                <w:szCs w:val="1"/>
                <w:color w:val="auto"/>
              </w:rPr>
            </w:pPr>
          </w:p>
        </w:tc>
      </w:tr>
      <w:tr>
        <w:trPr>
          <w:trHeight w:val="189"/>
        </w:trPr>
        <w:tc>
          <w:tcPr>
            <w:tcW w:w="830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Employer contributions</w:t>
            </w:r>
          </w:p>
        </w:tc>
        <w:tc>
          <w:tcPr>
            <w:tcW w:w="32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830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Benefit payments</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(12,706)</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(12,496)</w:t>
            </w:r>
          </w:p>
        </w:tc>
        <w:tc>
          <w:tcPr>
            <w:tcW w:w="0" w:type="dxa"/>
            <w:vAlign w:val="bottom"/>
          </w:tcPr>
          <w:p>
            <w:pPr>
              <w:spacing w:after="0"/>
              <w:rPr>
                <w:sz w:val="1"/>
                <w:szCs w:val="1"/>
                <w:color w:val="auto"/>
              </w:rPr>
            </w:pPr>
          </w:p>
        </w:tc>
      </w:tr>
      <w:tr>
        <w:trPr>
          <w:trHeight w:val="183"/>
        </w:trPr>
        <w:tc>
          <w:tcPr>
            <w:tcW w:w="8300" w:type="dxa"/>
            <w:vAlign w:val="bottom"/>
            <w:tcBorders>
              <w:top w:val="single" w:sz="8" w:color="CCEEFF"/>
              <w:bottom w:val="single" w:sz="8" w:color="CCEEFF"/>
            </w:tcBorders>
          </w:tcPr>
          <w:p>
            <w:pPr>
              <w:ind w:left="120"/>
              <w:spacing w:after="0" w:line="176" w:lineRule="exact"/>
              <w:rPr>
                <w:sz w:val="20"/>
                <w:szCs w:val="20"/>
                <w:color w:val="auto"/>
              </w:rPr>
            </w:pPr>
            <w:r>
              <w:rPr>
                <w:rFonts w:ascii="Times New Roman" w:cs="Times New Roman" w:eastAsia="Times New Roman" w:hAnsi="Times New Roman"/>
                <w:sz w:val="18"/>
                <w:szCs w:val="18"/>
                <w:color w:val="auto"/>
              </w:rPr>
              <w:t>Fair value of plan assets at end of year</w:t>
            </w: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150,089</w:t>
            </w:r>
          </w:p>
        </w:tc>
        <w:tc>
          <w:tcPr>
            <w:tcW w:w="180" w:type="dxa"/>
            <w:vAlign w:val="bottom"/>
            <w:tcBorders>
              <w:top w:val="single" w:sz="8" w:color="CCEEFF"/>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205,089</w:t>
            </w:r>
          </w:p>
        </w:tc>
        <w:tc>
          <w:tcPr>
            <w:tcW w:w="0" w:type="dxa"/>
            <w:vAlign w:val="bottom"/>
          </w:tcPr>
          <w:p>
            <w:pPr>
              <w:spacing w:after="0"/>
              <w:rPr>
                <w:sz w:val="1"/>
                <w:szCs w:val="1"/>
                <w:color w:val="auto"/>
              </w:rPr>
            </w:pPr>
          </w:p>
        </w:tc>
      </w:tr>
      <w:tr>
        <w:trPr>
          <w:trHeight w:val="189"/>
        </w:trPr>
        <w:tc>
          <w:tcPr>
            <w:tcW w:w="8300" w:type="dxa"/>
            <w:vAlign w:val="bottom"/>
            <w:tcBorders>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Funded Status</w:t>
            </w:r>
          </w:p>
        </w:tc>
        <w:tc>
          <w:tcPr>
            <w:tcW w:w="320" w:type="dxa"/>
            <w:vAlign w:val="bottom"/>
            <w:tcBorders>
              <w:bottom w:val="single" w:sz="8" w:color="auto"/>
            </w:tcBorders>
            <w:shd w:val="clear" w:color="auto" w:fill="CCEEFF"/>
          </w:tcPr>
          <w:p>
            <w:pPr>
              <w:jc w:val="right"/>
              <w:ind w:right="1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(19,455)</w:t>
            </w:r>
          </w:p>
        </w:tc>
        <w:tc>
          <w:tcPr>
            <w:tcW w:w="1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(14,275)</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Amounts Recorded on the Balance Sheet</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3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300" w:type="dxa"/>
            <w:vAlign w:val="bottom"/>
            <w:tcBorders>
              <w:bottom w:val="single" w:sz="8" w:color="CCEEFF"/>
            </w:tcBorders>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Long-term pension liabilities</w:t>
            </w:r>
          </w:p>
        </w:tc>
        <w:tc>
          <w:tcPr>
            <w:tcW w:w="320" w:type="dxa"/>
            <w:vAlign w:val="bottom"/>
            <w:tcBorders>
              <w:bottom w:val="single" w:sz="8" w:color="auto"/>
            </w:tcBorders>
            <w:shd w:val="clear" w:color="auto" w:fill="CCEEFF"/>
          </w:tcPr>
          <w:p>
            <w:pPr>
              <w:jc w:val="right"/>
              <w:ind w:right="1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19,455</w:t>
            </w:r>
          </w:p>
        </w:tc>
        <w:tc>
          <w:tcPr>
            <w:tcW w:w="1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14,275</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Accumulated Benefit Obligation</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300" w:type="dxa"/>
            <w:vAlign w:val="bottom"/>
            <w:vMerge w:val="continue"/>
          </w:tcPr>
          <w:p>
            <w:pPr>
              <w:spacing w:after="0"/>
              <w:rPr>
                <w:sz w:val="14"/>
                <w:szCs w:val="14"/>
                <w:color w:val="auto"/>
              </w:rPr>
            </w:pPr>
          </w:p>
        </w:tc>
        <w:tc>
          <w:tcPr>
            <w:tcW w:w="320" w:type="dxa"/>
            <w:vAlign w:val="bottom"/>
            <w:tcBorders>
              <w:bottom w:val="single" w:sz="8" w:color="auto"/>
            </w:tcBorders>
          </w:tcPr>
          <w:p>
            <w:pPr>
              <w:jc w:val="right"/>
              <w:ind w:right="156"/>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169,544</w:t>
            </w:r>
          </w:p>
        </w:tc>
        <w:tc>
          <w:tcPr>
            <w:tcW w:w="180" w:type="dxa"/>
            <w:vAlign w:val="bottom"/>
          </w:tcPr>
          <w:p>
            <w:pPr>
              <w:spacing w:after="0"/>
              <w:rPr>
                <w:sz w:val="14"/>
                <w:szCs w:val="14"/>
                <w:color w:val="auto"/>
              </w:rPr>
            </w:pPr>
          </w:p>
        </w:tc>
        <w:tc>
          <w:tcPr>
            <w:tcW w:w="320" w:type="dxa"/>
            <w:vAlign w:val="bottom"/>
            <w:tcBorders>
              <w:bottom w:val="single" w:sz="8" w:color="auto"/>
            </w:tcBorders>
          </w:tcPr>
          <w:p>
            <w:pPr>
              <w:jc w:val="right"/>
              <w:ind w:right="13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219,364</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Periodic Pension Expense (Benefit)</w:t>
      </w:r>
    </w:p>
    <w:p>
      <w:pPr>
        <w:spacing w:after="0" w:line="16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projected benefit obligations of the DallasNews Pension Plans are estimated using the FTSE Pension Discount Curve, which is based upon a portfolio of high-quality corporate debt securities with maturities that correlate to the expected timing of estimated benefit payments to the Pension Plans’ participants. Future estimated benefit payments are discounted to their present value at the appropriate yield curve spot rate to determine the projected benefit obligation outstanding at each year end. The single equivalent discount rate as of December 31, 2022, was 4.9 percent and 2.5 percent for December 31, 2021. The significant gains related to changes in the projected benefit obligation for 2022 and 2021, were primarily due to the movement in the discount rate.</w:t>
      </w:r>
    </w:p>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Interest expense included in net periodic pension benefit is based on the FTSE Pension Discount Curve established at the beginning of the fiscal year. The discount rate for fiscal year 2022 and 2021 interest cost was 2.5 percent and 2.1 percent, respectively.</w:t>
      </w:r>
    </w:p>
    <w:p>
      <w:pPr>
        <w:spacing w:after="0" w:line="14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assumed a 2.5 percent and 5.5 percent long-term return on the Pension Plans’ assets in 2022 and 2021, respectively. This return is based upon historical returns of similar investment pools having asset allocations consistent with the expected allocations of the DallasNews Pension Plans. Investment strategies for the Pension Plans’ assets are based upon factors such as the effective duration of the actuarial liabilities and market risks.</w:t>
      </w:r>
    </w:p>
    <w:p>
      <w:pPr>
        <w:spacing w:after="0" w:line="200" w:lineRule="exact"/>
        <w:rPr>
          <w:sz w:val="20"/>
          <w:szCs w:val="20"/>
          <w:color w:val="auto"/>
        </w:rPr>
      </w:pPr>
    </w:p>
    <w:p>
      <w:pPr>
        <w:spacing w:after="0" w:line="277" w:lineRule="exact"/>
        <w:rPr>
          <w:sz w:val="20"/>
          <w:szCs w:val="20"/>
          <w:color w:val="auto"/>
        </w:rPr>
      </w:pPr>
    </w:p>
    <w:p>
      <w:pPr>
        <w:jc w:val="right"/>
        <w:spacing w:after="0"/>
        <w:tabs>
          <w:tab w:leader="none" w:pos="700" w:val="left"/>
        </w:tabs>
        <w:rPr>
          <w:sz w:val="20"/>
          <w:szCs w:val="20"/>
          <w:color w:val="auto"/>
        </w:rPr>
      </w:pPr>
      <w:r>
        <w:rPr>
          <w:rFonts w:ascii="Times New Roman" w:cs="Times New Roman" w:eastAsia="Times New Roman" w:hAnsi="Times New Roman"/>
          <w:sz w:val="18"/>
          <w:szCs w:val="18"/>
          <w:color w:val="auto"/>
        </w:rPr>
        <w:t>DallasNews Corporation 2022 Annual Report on Form 10-K</w:t>
      </w:r>
      <w:r>
        <w:rPr>
          <w:sz w:val="20"/>
          <w:szCs w:val="20"/>
          <w:color w:val="auto"/>
        </w:rPr>
        <w:tab/>
      </w:r>
      <w:r>
        <w:rPr>
          <w:rFonts w:ascii="Times New Roman" w:cs="Times New Roman" w:eastAsia="Times New Roman" w:hAnsi="Times New Roman"/>
          <w:sz w:val="17"/>
          <w:szCs w:val="17"/>
          <w:b w:val="1"/>
          <w:bCs w:val="1"/>
          <w:color w:val="auto"/>
        </w:rPr>
        <w:t>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Company’s estimates of net periodic pension expense or benefit are based on the expected return on plan assets, interest on the projected benefit obligations and the amortization of actuarial gains and losses that are deferred in accumulated other comprehensive loss. Participation in and accrual of new benefits to participants has been frozen since 2007 and, accordingly, on-going service costs are not a component of net periodic pension expense (benefit). For 2022, based on the re-allocation of the Pension Plans’ assets, the Company assumed a lower rate of return on the assets resulting in net periodic pension expense.</w:t>
      </w:r>
    </w:p>
    <w:p>
      <w:pPr>
        <w:spacing w:after="0" w:line="1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table below sets forth components of net periodic pension expense (benefit), which are included in other income (loss), net in the Consolidated Statements of Operations.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17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Years Ended December 31,</w:t>
            </w:r>
          </w:p>
        </w:tc>
        <w:tc>
          <w:tcPr>
            <w:tcW w:w="1120" w:type="dxa"/>
            <w:vAlign w:val="bottom"/>
            <w:tcBorders>
              <w:top w:val="single" w:sz="8" w:color="auto"/>
              <w:bottom w:val="single" w:sz="8" w:color="auto"/>
            </w:tcBorders>
          </w:tcPr>
          <w:p>
            <w:pPr>
              <w:spacing w:after="0"/>
              <w:rPr>
                <w:sz w:val="17"/>
                <w:szCs w:val="17"/>
                <w:color w:val="auto"/>
              </w:rPr>
            </w:pPr>
          </w:p>
        </w:tc>
      </w:tr>
      <w:tr>
        <w:trPr>
          <w:trHeight w:val="183"/>
        </w:trPr>
        <w:tc>
          <w:tcPr>
            <w:tcW w:w="50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760" w:type="dxa"/>
            <w:vAlign w:val="bottom"/>
            <w:tcBorders>
              <w:bottom w:val="single" w:sz="8" w:color="auto"/>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i w:val="1"/>
                <w:iCs w:val="1"/>
                <w:color w:val="auto"/>
              </w:rPr>
              <w:t>2021</w:t>
            </w:r>
          </w:p>
        </w:tc>
      </w:tr>
      <w:tr>
        <w:trPr>
          <w:trHeight w:val="189"/>
        </w:trPr>
        <w:tc>
          <w:tcPr>
            <w:tcW w:w="50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Interest cost</w:t>
            </w:r>
          </w:p>
        </w:tc>
        <w:tc>
          <w:tcPr>
            <w:tcW w:w="3400" w:type="dxa"/>
            <w:vAlign w:val="bottom"/>
            <w:gridSpan w:val="2"/>
            <w:shd w:val="clear" w:color="auto" w:fill="CCEEFF"/>
          </w:tcPr>
          <w:p>
            <w:pPr>
              <w:jc w:val="right"/>
              <w:ind w:right="1002"/>
              <w:spacing w:after="0" w:line="189"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5,311</w:t>
            </w: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1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4,697</w:t>
            </w:r>
          </w:p>
        </w:tc>
      </w:tr>
      <w:tr>
        <w:trPr>
          <w:trHeight w:val="189"/>
        </w:trPr>
        <w:tc>
          <w:tcPr>
            <w:tcW w:w="50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Expected return on plans' assets</w:t>
            </w:r>
          </w:p>
        </w:tc>
        <w:tc>
          <w:tcPr>
            <w:tcW w:w="2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20" w:type="dxa"/>
            <w:vAlign w:val="bottom"/>
            <w:gridSpan w:val="2"/>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(4,949)</w:t>
            </w:r>
          </w:p>
        </w:tc>
        <w:tc>
          <w:tcPr>
            <w:tcW w:w="68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(10,299)</w:t>
            </w:r>
          </w:p>
        </w:tc>
      </w:tr>
      <w:tr>
        <w:trPr>
          <w:trHeight w:val="209"/>
        </w:trPr>
        <w:tc>
          <w:tcPr>
            <w:tcW w:w="5020" w:type="dxa"/>
            <w:vAlign w:val="bottom"/>
            <w:tcBorders>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Amortization of actuarial loss</w:t>
            </w:r>
          </w:p>
        </w:tc>
        <w:tc>
          <w:tcPr>
            <w:tcW w:w="22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526</w:t>
            </w:r>
          </w:p>
        </w:tc>
        <w:tc>
          <w:tcPr>
            <w:tcW w:w="2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1,444</w:t>
            </w:r>
          </w:p>
        </w:tc>
      </w:tr>
      <w:tr>
        <w:trPr>
          <w:trHeight w:val="176"/>
        </w:trPr>
        <w:tc>
          <w:tcPr>
            <w:tcW w:w="5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Net periodic pension expense (benefit)</w:t>
            </w:r>
          </w:p>
        </w:tc>
        <w:tc>
          <w:tcPr>
            <w:tcW w:w="2240" w:type="dxa"/>
            <w:vAlign w:val="bottom"/>
          </w:tcPr>
          <w:p>
            <w:pPr>
              <w:spacing w:after="0"/>
              <w:rPr>
                <w:sz w:val="15"/>
                <w:szCs w:val="15"/>
                <w:color w:val="auto"/>
              </w:rPr>
            </w:pPr>
          </w:p>
        </w:tc>
        <w:tc>
          <w:tcPr>
            <w:tcW w:w="1160" w:type="dxa"/>
            <w:vAlign w:val="bottom"/>
            <w:tcBorders>
              <w:bottom w:val="single" w:sz="8" w:color="auto"/>
            </w:tcBorders>
          </w:tcPr>
          <w:p>
            <w:pPr>
              <w:jc w:val="right"/>
              <w:ind w:right="1002"/>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888</w:t>
            </w:r>
          </w:p>
        </w:tc>
        <w:tc>
          <w:tcPr>
            <w:tcW w:w="260" w:type="dxa"/>
            <w:vAlign w:val="bottom"/>
          </w:tcPr>
          <w:p>
            <w:pPr>
              <w:spacing w:after="0"/>
              <w:rPr>
                <w:sz w:val="15"/>
                <w:szCs w:val="15"/>
                <w:color w:val="auto"/>
              </w:rPr>
            </w:pPr>
          </w:p>
        </w:tc>
        <w:tc>
          <w:tcPr>
            <w:tcW w:w="680" w:type="dxa"/>
            <w:vAlign w:val="bottom"/>
            <w:tcBorders>
              <w:bottom w:val="single" w:sz="8" w:color="auto"/>
            </w:tcBorders>
          </w:tcPr>
          <w:p>
            <w:pPr>
              <w:jc w:val="right"/>
              <w:ind w:right="516"/>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(4,158)</w:t>
            </w:r>
          </w:p>
        </w:tc>
      </w:tr>
      <w:tr>
        <w:trPr>
          <w:trHeight w:val="20"/>
        </w:trPr>
        <w:tc>
          <w:tcPr>
            <w:tcW w:w="5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 Assets</w:t>
      </w:r>
    </w:p>
    <w:p>
      <w:pPr>
        <w:spacing w:after="0" w:line="18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The Company is responsible for directing the investment strategies of the DallasNews Pension Plans’ assets. The investment strategies focus on asset class diversification, liquidity to meet benefit payments and an appropriate balance of long-term investment return and risks. In 2022, the long-term targeted allocation of the Pension Plans’ assets invested in equity securities and fixed income securities was approximately 5 percent and 95 percent, respectively. In 2021 management and the board agreed that the Pension Plans’ investment portfolio should be further de-risked to 95 percent liability hedging assets. These targets are determined based on the effective duration of the actuarial liabilities, the expected long-term rate of return on assets, and expected market risks. Investment risk is continuously monitored and Pension Plans’ assets are rebalanced to target allocations to meet the Company’s strategy and the Pension Plans’ liquidity needs. At December 31, 2022, the Pension Plans’ investments in equity securities and fixed income securities accounted for 4.4 percent and 95.6 percent of the total noncash holdings, respectively.</w:t>
      </w:r>
    </w:p>
    <w:p>
      <w:pPr>
        <w:spacing w:after="0" w:line="16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table below sets forth the DallasNews Pension Plans’ assets at fair value as of December 31, 2022 and 2021, with inputs used to develop fair value measurements.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140" w:type="dxa"/>
            <w:vAlign w:val="bottom"/>
            <w:tcBorders>
              <w:top w:val="single" w:sz="8" w:color="auto"/>
              <w:bottom w:val="single" w:sz="8" w:color="auto"/>
            </w:tcBorders>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2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20" w:type="dxa"/>
            <w:vAlign w:val="bottom"/>
            <w:gridSpan w:val="4"/>
          </w:tcPr>
          <w:p>
            <w:pPr>
              <w:jc w:val="center"/>
              <w:ind w:right="134"/>
              <w:spacing w:after="0" w:line="124" w:lineRule="exact"/>
              <w:rPr>
                <w:sz w:val="20"/>
                <w:szCs w:val="20"/>
                <w:color w:val="auto"/>
              </w:rPr>
            </w:pPr>
            <w:r>
              <w:rPr>
                <w:rFonts w:ascii="Times New Roman" w:cs="Times New Roman" w:eastAsia="Times New Roman" w:hAnsi="Times New Roman"/>
                <w:sz w:val="14"/>
                <w:szCs w:val="14"/>
                <w:b w:val="1"/>
                <w:bCs w:val="1"/>
                <w:color w:val="auto"/>
              </w:rPr>
              <w:t>Quoted Price in</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40" w:type="dxa"/>
            <w:vAlign w:val="bottom"/>
            <w:gridSpan w:val="4"/>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gridSpan w:val="4"/>
          </w:tcPr>
          <w:p>
            <w:pPr>
              <w:jc w:val="center"/>
              <w:ind w:left="358"/>
              <w:spacing w:after="0" w:line="124"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gridSpan w:val="4"/>
          </w:tcPr>
          <w:p>
            <w:pPr>
              <w:jc w:val="center"/>
              <w:ind w:right="154"/>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60" w:type="dxa"/>
            <w:vAlign w:val="bottom"/>
            <w:gridSpan w:val="5"/>
          </w:tcPr>
          <w:p>
            <w:pPr>
              <w:jc w:val="center"/>
              <w:ind w:right="132"/>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62"/>
        </w:trPr>
        <w:tc>
          <w:tcPr>
            <w:tcW w:w="2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3"/>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4"/>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for‎ Identical Assets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86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4"/>
          </w:tcPr>
          <w:p>
            <w:pPr>
              <w:jc w:val="center"/>
              <w:ind w:left="378"/>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(Level‎</w:t>
            </w:r>
          </w:p>
        </w:tc>
        <w:tc>
          <w:tcPr>
            <w:tcW w:w="8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w w:val="98"/>
              </w:rPr>
              <w:t>I)</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‎(Level II)</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III)</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7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i w:val="1"/>
                <w:iCs w:val="1"/>
                <w:color w:val="auto"/>
              </w:rPr>
              <w:t>2021</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i w:val="1"/>
                <w:iCs w:val="1"/>
                <w:color w:val="auto"/>
              </w:rPr>
              <w:t>2021</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i w:val="1"/>
                <w:iCs w:val="1"/>
                <w:color w:val="auto"/>
              </w:rPr>
              <w:t>2021</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2021</w:t>
            </w:r>
          </w:p>
        </w:tc>
        <w:tc>
          <w:tcPr>
            <w:tcW w:w="0" w:type="dxa"/>
            <w:vAlign w:val="bottom"/>
          </w:tcPr>
          <w:p>
            <w:pPr>
              <w:spacing w:after="0"/>
              <w:rPr>
                <w:sz w:val="1"/>
                <w:szCs w:val="1"/>
                <w:color w:val="auto"/>
              </w:rPr>
            </w:pPr>
          </w:p>
        </w:tc>
      </w:tr>
      <w:tr>
        <w:trPr>
          <w:trHeight w:val="189"/>
        </w:trPr>
        <w:tc>
          <w:tcPr>
            <w:tcW w:w="27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Cash and Money Market Funds</w:t>
            </w:r>
          </w:p>
        </w:tc>
        <w:tc>
          <w:tcPr>
            <w:tcW w:w="22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1,608</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2,749</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1,608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2,749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ind w:left="5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8"/>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ind w:left="4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278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Equity Funds</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U.S. equity securities</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3,666</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6,492</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3,666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6,492</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ind w:left="5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ind w:left="4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27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International equity securities</w:t>
            </w:r>
          </w:p>
        </w:tc>
        <w:tc>
          <w:tcPr>
            <w:tcW w:w="2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2,856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3,317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2,856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3,317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ind w:left="5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ind w:left="4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27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Fixed Income Funds</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780" w:type="dxa"/>
            <w:vAlign w:val="bottom"/>
          </w:tcPr>
          <w:p>
            <w:pPr>
              <w:ind w:left="120"/>
              <w:spacing w:after="0" w:line="157" w:lineRule="exact"/>
              <w:rPr>
                <w:sz w:val="20"/>
                <w:szCs w:val="20"/>
                <w:color w:val="auto"/>
              </w:rPr>
            </w:pPr>
            <w:r>
              <w:rPr>
                <w:rFonts w:ascii="Times New Roman" w:cs="Times New Roman" w:eastAsia="Times New Roman" w:hAnsi="Times New Roman"/>
                <w:sz w:val="18"/>
                <w:szCs w:val="18"/>
                <w:color w:val="auto"/>
              </w:rPr>
              <w:t>Domestic corporate and</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 debt securities</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72,194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96,362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72,194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96,362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27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Domestic corporate debt securities</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69,243</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95,647</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69,243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95,647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ind w:left="5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ind w:left="4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7"/>
        </w:trPr>
        <w:tc>
          <w:tcPr>
            <w:tcW w:w="2780" w:type="dxa"/>
            <w:vAlign w:val="bottom"/>
          </w:tcPr>
          <w:p>
            <w:pPr>
              <w:ind w:left="120"/>
              <w:spacing w:after="0" w:line="157" w:lineRule="exact"/>
              <w:rPr>
                <w:sz w:val="20"/>
                <w:szCs w:val="20"/>
                <w:color w:val="auto"/>
              </w:rPr>
            </w:pPr>
            <w:r>
              <w:rPr>
                <w:rFonts w:ascii="Times New Roman" w:cs="Times New Roman" w:eastAsia="Times New Roman" w:hAnsi="Times New Roman"/>
                <w:sz w:val="18"/>
                <w:szCs w:val="18"/>
                <w:color w:val="auto"/>
              </w:rPr>
              <w:t>International corporate and</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 debt securities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2780" w:type="dxa"/>
            <w:vAlign w:val="bottom"/>
            <w:tcBorders>
              <w:top w:val="single" w:sz="8" w:color="CCEEFF"/>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top w:val="single" w:sz="8" w:color="auto"/>
              <w:bottom w:val="single" w:sz="8" w:color="auto"/>
            </w:tcBorders>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150,089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205,089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1,608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2,749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3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148,481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202,340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ind w:left="5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gridSpan w:val="2"/>
            <w:shd w:val="clear" w:color="auto" w:fill="CCEEFF"/>
          </w:tcPr>
          <w:p>
            <w:pPr>
              <w:jc w:val="right"/>
              <w:ind w:right="168"/>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ind w:left="4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222222"/>
        </w:rPr>
        <w:t>Inputs and valuation techniques used to measure the fair value of Pension Plans’ assets vary according to the type of asset being valued. Cash and money market funds are designated as Level I. Remaining investments are in commingled funds and fair values are determined by the fund manager primarily</w:t>
      </w:r>
    </w:p>
    <w:tbl>
      <w:tblPr>
        <w:tblLayout w:type="fixed"/>
        <w:tblInd w:w="0" w:type="dxa"/>
        <w:tblCellMar>
          <w:top w:w="0" w:type="dxa"/>
          <w:left w:w="0" w:type="dxa"/>
          <w:bottom w:w="0" w:type="dxa"/>
          <w:right w:w="0" w:type="dxa"/>
        </w:tblCellMar>
      </w:tblPr>
      <w:tr>
        <w:trPr>
          <w:trHeight w:val="170"/>
        </w:trPr>
        <w:tc>
          <w:tcPr>
            <w:tcW w:w="10280" w:type="dxa"/>
            <w:vAlign w:val="bottom"/>
          </w:tcPr>
          <w:p>
            <w:pPr>
              <w:spacing w:after="0" w:line="170" w:lineRule="exact"/>
              <w:rPr>
                <w:sz w:val="20"/>
                <w:szCs w:val="20"/>
                <w:color w:val="auto"/>
              </w:rPr>
            </w:pPr>
            <w:r>
              <w:rPr>
                <w:rFonts w:ascii="Times New Roman" w:cs="Times New Roman" w:eastAsia="Times New Roman" w:hAnsi="Times New Roman"/>
                <w:sz w:val="18"/>
                <w:szCs w:val="18"/>
                <w:color w:val="222222"/>
              </w:rPr>
              <w:t>based upon closing market quotes of the assets. Equity securities held through units in these funds are monitored as to issuer and</w:t>
            </w:r>
          </w:p>
        </w:tc>
        <w:tc>
          <w:tcPr>
            <w:tcW w:w="960" w:type="dxa"/>
            <w:vAlign w:val="bottom"/>
          </w:tcPr>
          <w:p>
            <w:pPr>
              <w:ind w:left="40"/>
              <w:spacing w:after="0" w:line="170" w:lineRule="exact"/>
              <w:rPr>
                <w:sz w:val="20"/>
                <w:szCs w:val="20"/>
                <w:color w:val="auto"/>
              </w:rPr>
            </w:pPr>
            <w:r>
              <w:rPr>
                <w:rFonts w:ascii="Times New Roman" w:cs="Times New Roman" w:eastAsia="Times New Roman" w:hAnsi="Times New Roman"/>
                <w:sz w:val="18"/>
                <w:szCs w:val="18"/>
                <w:color w:val="222222"/>
              </w:rPr>
              <w:t>industry. As</w:t>
            </w:r>
          </w:p>
        </w:tc>
      </w:tr>
      <w:tr>
        <w:trPr>
          <w:trHeight w:val="234"/>
        </w:trPr>
        <w:tc>
          <w:tcPr>
            <w:tcW w:w="10280" w:type="dxa"/>
            <w:vAlign w:val="bottom"/>
          </w:tcPr>
          <w:p>
            <w:pPr>
              <w:spacing w:after="0"/>
              <w:rPr>
                <w:sz w:val="20"/>
                <w:szCs w:val="20"/>
                <w:color w:val="auto"/>
              </w:rPr>
            </w:pPr>
            <w:r>
              <w:rPr>
                <w:rFonts w:ascii="Times New Roman" w:cs="Times New Roman" w:eastAsia="Times New Roman" w:hAnsi="Times New Roman"/>
                <w:sz w:val="18"/>
                <w:szCs w:val="18"/>
                <w:color w:val="222222"/>
              </w:rPr>
              <w:t>of December 31, 2022, there were no significant concentrations of equity or debt securities in any single issuer or industry.</w:t>
            </w:r>
          </w:p>
        </w:tc>
        <w:tc>
          <w:tcPr>
            <w:tcW w:w="960" w:type="dxa"/>
            <w:vAlign w:val="bottom"/>
          </w:tcPr>
          <w:p>
            <w:pPr>
              <w:spacing w:after="0"/>
              <w:rPr>
                <w:sz w:val="20"/>
                <w:szCs w:val="20"/>
                <w:color w:val="auto"/>
              </w:rPr>
            </w:pPr>
          </w:p>
        </w:tc>
      </w:tr>
      <w:tr>
        <w:trPr>
          <w:trHeight w:val="715"/>
        </w:trPr>
        <w:tc>
          <w:tcPr>
            <w:tcW w:w="10280" w:type="dxa"/>
            <w:vAlign w:val="bottom"/>
          </w:tcPr>
          <w:p>
            <w:pPr>
              <w:ind w:left="5860"/>
              <w:spacing w:after="0"/>
              <w:rPr>
                <w:sz w:val="20"/>
                <w:szCs w:val="20"/>
                <w:color w:val="auto"/>
              </w:rPr>
            </w:pPr>
            <w:r>
              <w:rPr>
                <w:rFonts w:ascii="Times New Roman" w:cs="Times New Roman" w:eastAsia="Times New Roman" w:hAnsi="Times New Roman"/>
                <w:sz w:val="18"/>
                <w:szCs w:val="18"/>
                <w:color w:val="auto"/>
              </w:rPr>
              <w:t>DallasNews Corporation 2022 Annual Report on Form 10-K</w:t>
            </w:r>
          </w:p>
        </w:tc>
        <w:tc>
          <w:tcPr>
            <w:tcW w:w="9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w w:val="96"/>
              </w:rPr>
              <w:t>PAGE 42</w:t>
            </w:r>
          </w:p>
        </w:tc>
      </w:tr>
      <w:tr>
        <w:trPr>
          <w:trHeight w:val="33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Company’s expected future pension benefit payments as of December 31, 2022.</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3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0" w:type="dxa"/>
            <w:vAlign w:val="bottom"/>
          </w:tcPr>
          <w:p>
            <w:pPr>
              <w:spacing w:after="0"/>
              <w:rPr>
                <w:sz w:val="1"/>
                <w:szCs w:val="1"/>
                <w:color w:val="auto"/>
              </w:rPr>
            </w:pPr>
          </w:p>
        </w:tc>
      </w:tr>
      <w:tr>
        <w:trPr>
          <w:trHeight w:val="162"/>
        </w:trPr>
        <w:tc>
          <w:tcPr>
            <w:tcW w:w="5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Payment year</w:t>
            </w:r>
          </w:p>
        </w:tc>
        <w:tc>
          <w:tcPr>
            <w:tcW w:w="4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0" w:type="dxa"/>
            <w:vAlign w:val="bottom"/>
          </w:tcPr>
          <w:p>
            <w:pPr>
              <w:spacing w:after="0"/>
              <w:rPr>
                <w:sz w:val="1"/>
                <w:szCs w:val="1"/>
                <w:color w:val="auto"/>
              </w:rPr>
            </w:pPr>
          </w:p>
        </w:tc>
      </w:tr>
      <w:tr>
        <w:trPr>
          <w:trHeight w:val="180"/>
        </w:trPr>
        <w:tc>
          <w:tcPr>
            <w:tcW w:w="5360" w:type="dxa"/>
            <w:vAlign w:val="bottom"/>
            <w:tcBorders>
              <w:bottom w:val="single" w:sz="8" w:color="auto"/>
            </w:tcBorders>
            <w:vMerge w:val="continue"/>
          </w:tcPr>
          <w:p>
            <w:pPr>
              <w:spacing w:after="0"/>
              <w:rPr>
                <w:sz w:val="15"/>
                <w:szCs w:val="15"/>
                <w:color w:val="auto"/>
              </w:rPr>
            </w:pPr>
          </w:p>
        </w:tc>
        <w:tc>
          <w:tcPr>
            <w:tcW w:w="44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0" w:type="dxa"/>
            <w:vAlign w:val="bottom"/>
          </w:tcPr>
          <w:p>
            <w:pPr>
              <w:spacing w:after="0"/>
              <w:rPr>
                <w:sz w:val="1"/>
                <w:szCs w:val="1"/>
                <w:color w:val="auto"/>
              </w:rPr>
            </w:pPr>
          </w:p>
        </w:tc>
      </w:tr>
      <w:tr>
        <w:trPr>
          <w:trHeight w:val="189"/>
        </w:trPr>
        <w:tc>
          <w:tcPr>
            <w:tcW w:w="53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2023</w:t>
            </w:r>
          </w:p>
        </w:tc>
        <w:tc>
          <w:tcPr>
            <w:tcW w:w="472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13,849</w:t>
            </w:r>
          </w:p>
        </w:tc>
        <w:tc>
          <w:tcPr>
            <w:tcW w:w="0" w:type="dxa"/>
            <w:vAlign w:val="bottom"/>
          </w:tcPr>
          <w:p>
            <w:pPr>
              <w:spacing w:after="0"/>
              <w:rPr>
                <w:sz w:val="1"/>
                <w:szCs w:val="1"/>
                <w:color w:val="auto"/>
              </w:rPr>
            </w:pPr>
          </w:p>
        </w:tc>
      </w:tr>
      <w:tr>
        <w:trPr>
          <w:trHeight w:val="189"/>
        </w:trPr>
        <w:tc>
          <w:tcPr>
            <w:tcW w:w="5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2024</w:t>
            </w:r>
          </w:p>
        </w:tc>
        <w:tc>
          <w:tcPr>
            <w:tcW w:w="4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13,817</w:t>
            </w:r>
          </w:p>
        </w:tc>
        <w:tc>
          <w:tcPr>
            <w:tcW w:w="0" w:type="dxa"/>
            <w:vAlign w:val="bottom"/>
          </w:tcPr>
          <w:p>
            <w:pPr>
              <w:spacing w:after="0"/>
              <w:rPr>
                <w:sz w:val="1"/>
                <w:szCs w:val="1"/>
                <w:color w:val="auto"/>
              </w:rPr>
            </w:pPr>
          </w:p>
        </w:tc>
      </w:tr>
      <w:tr>
        <w:trPr>
          <w:trHeight w:val="189"/>
        </w:trPr>
        <w:tc>
          <w:tcPr>
            <w:tcW w:w="53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2025</w:t>
            </w:r>
          </w:p>
        </w:tc>
        <w:tc>
          <w:tcPr>
            <w:tcW w:w="44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13,779</w:t>
            </w:r>
          </w:p>
        </w:tc>
        <w:tc>
          <w:tcPr>
            <w:tcW w:w="0" w:type="dxa"/>
            <w:vAlign w:val="bottom"/>
          </w:tcPr>
          <w:p>
            <w:pPr>
              <w:spacing w:after="0"/>
              <w:rPr>
                <w:sz w:val="1"/>
                <w:szCs w:val="1"/>
                <w:color w:val="auto"/>
              </w:rPr>
            </w:pPr>
          </w:p>
        </w:tc>
      </w:tr>
      <w:tr>
        <w:trPr>
          <w:trHeight w:val="189"/>
        </w:trPr>
        <w:tc>
          <w:tcPr>
            <w:tcW w:w="5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4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13,615</w:t>
            </w:r>
          </w:p>
        </w:tc>
        <w:tc>
          <w:tcPr>
            <w:tcW w:w="0" w:type="dxa"/>
            <w:vAlign w:val="bottom"/>
          </w:tcPr>
          <w:p>
            <w:pPr>
              <w:spacing w:after="0"/>
              <w:rPr>
                <w:sz w:val="1"/>
                <w:szCs w:val="1"/>
                <w:color w:val="auto"/>
              </w:rPr>
            </w:pPr>
          </w:p>
        </w:tc>
      </w:tr>
      <w:tr>
        <w:trPr>
          <w:trHeight w:val="189"/>
        </w:trPr>
        <w:tc>
          <w:tcPr>
            <w:tcW w:w="53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2027</w:t>
            </w:r>
          </w:p>
        </w:tc>
        <w:tc>
          <w:tcPr>
            <w:tcW w:w="44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13,473</w:t>
            </w:r>
          </w:p>
        </w:tc>
        <w:tc>
          <w:tcPr>
            <w:tcW w:w="0" w:type="dxa"/>
            <w:vAlign w:val="bottom"/>
          </w:tcPr>
          <w:p>
            <w:pPr>
              <w:spacing w:after="0"/>
              <w:rPr>
                <w:sz w:val="1"/>
                <w:szCs w:val="1"/>
                <w:color w:val="auto"/>
              </w:rPr>
            </w:pPr>
          </w:p>
        </w:tc>
      </w:tr>
      <w:tr>
        <w:trPr>
          <w:trHeight w:val="23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2028 - 2032</w:t>
            </w:r>
          </w:p>
        </w:tc>
        <w:tc>
          <w:tcPr>
            <w:tcW w:w="4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63,139</w:t>
            </w:r>
          </w:p>
        </w:tc>
        <w:tc>
          <w:tcPr>
            <w:tcW w:w="0" w:type="dxa"/>
            <w:vAlign w:val="bottom"/>
          </w:tcPr>
          <w:p>
            <w:pPr>
              <w:spacing w:after="0"/>
              <w:rPr>
                <w:sz w:val="1"/>
                <w:szCs w:val="1"/>
                <w:color w:val="auto"/>
              </w:rPr>
            </w:pPr>
          </w:p>
        </w:tc>
      </w:tr>
    </w:tbl>
    <w:p>
      <w:pPr>
        <w:spacing w:after="0" w:line="1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currently does not expect to make contributions to the DallasNews Pension Plans in 2023 and no contributions are required to these plans in 2023 under ERISA.</w:t>
      </w:r>
    </w:p>
    <w:p>
      <w:pPr>
        <w:spacing w:after="0" w:line="145"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b w:val="1"/>
          <w:bCs w:val="1"/>
          <w:color w:val="auto"/>
        </w:rPr>
        <w:t xml:space="preserve">Other defined benefit plans. </w:t>
      </w:r>
      <w:r>
        <w:rPr>
          <w:rFonts w:ascii="Times New Roman" w:cs="Times New Roman" w:eastAsia="Times New Roman" w:hAnsi="Times New Roman"/>
          <w:sz w:val="18"/>
          <w:szCs w:val="18"/>
          <w:color w:val="auto"/>
        </w:rPr>
        <w:t>DallasNews also sponsors other post-employment benefit (the “OPEB”) plans, which provide health and life 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benefits for certain retired employees. These plans were frozen subsequent to the separation from the Company’s former parent company; therefore, no future benefits accrue and on-going service costs are not a component of net periodic benefit cost. The Company recorded a liability of $982 and $1,349 related to the OPEB plans as of December 31, 2022 and 2021, respectively. A net periodic benefit cost of $22 and $17 in 2022 and 2021, respectively, was recorded to other income (loss), net. The net periodic benefit cost primarily represents amortization of actuarial gains (losses) and prior service costs, offset by interest expense associated with the actuarial liability. Actuarial gains (losses) of $322 and $(20) were recorded to other comprehensive income (loss) in 2022 and 2021, respectively; see </w:t>
      </w:r>
      <w:r>
        <w:rPr>
          <w:rFonts w:ascii="Times New Roman" w:cs="Times New Roman" w:eastAsia="Times New Roman" w:hAnsi="Times New Roman"/>
          <w:sz w:val="18"/>
          <w:szCs w:val="18"/>
          <w:u w:val="single" w:color="auto"/>
          <w:color w:val="0000FF"/>
        </w:rPr>
        <w:t>Note 6 - Shareholders' Equity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1527810</wp:posOffset>
            </wp:positionH>
            <wp:positionV relativeFrom="paragraph">
              <wp:posOffset>-22225</wp:posOffset>
            </wp:positionV>
            <wp:extent cx="135318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2">
                      <a:extLst>
                        <a:ext uri="{28A0092B-C50C-407E-A947-70E740481C1C}"/>
                      </a:extLst>
                    </a:blip>
                    <a:srcRect/>
                    <a:stretch>
                      <a:fillRect/>
                    </a:stretch>
                  </pic:blipFill>
                  <pic:spPr bwMode="auto">
                    <a:xfrm>
                      <a:off x="0" y="0"/>
                      <a:ext cx="1353185" cy="8890"/>
                    </a:xfrm>
                    <a:prstGeom prst="rect">
                      <a:avLst/>
                    </a:prstGeom>
                    <a:noFill/>
                  </pic:spPr>
                </pic:pic>
              </a:graphicData>
            </a:graphic>
          </wp:anchor>
        </w:drawing>
      </w:r>
    </w:p>
    <w:p>
      <w:pPr>
        <w:spacing w:after="0" w:line="12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color w:val="auto"/>
        </w:rPr>
        <w:t xml:space="preserve">Defined Contribution Plans. </w:t>
      </w:r>
      <w:r>
        <w:rPr>
          <w:rFonts w:ascii="Times New Roman" w:cs="Times New Roman" w:eastAsia="Times New Roman" w:hAnsi="Times New Roman"/>
          <w:sz w:val="18"/>
          <w:szCs w:val="18"/>
          <w:color w:val="auto"/>
        </w:rPr>
        <w:t>The DallasNews Savings Plan (the “Savings Plan”), a defined contribution 401(k) plan, covers substantially all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DallasNews. Participants may elect to contribute a portion of their pretax compensation as provided by the Savings Plan and the Internal Revenue Code. Employees can contribute up to 100 percent of their annual eligible compensation less required withholdings and deductions up to statutory limits. The Company provides an ongoing dollar-for-dollar match of eligible employee contributions, up to 1.5 percent of the employees’ compensation. The Company recorded expense of $739 and $735 in 2022 and 2021, respectively, for matching contributions to the Savings Plan.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6: Shareholders’ Equity</w:t>
      </w:r>
    </w:p>
    <w:p>
      <w:pPr>
        <w:spacing w:after="0" w:line="1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Reverse Stock Split. </w:t>
      </w:r>
      <w:r>
        <w:rPr>
          <w:rFonts w:ascii="Times New Roman" w:cs="Times New Roman" w:eastAsia="Times New Roman" w:hAnsi="Times New Roman"/>
          <w:sz w:val="18"/>
          <w:szCs w:val="18"/>
          <w:color w:val="auto"/>
        </w:rPr>
        <w:t>The Company’s board of directors approved a one-for-four reverse stock split of its issued, outstanding and treasury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common stock, par value $0.01 per share, which became effective June 8, 2021. See </w:t>
      </w:r>
      <w:r>
        <w:rPr>
          <w:rFonts w:ascii="Times New Roman" w:cs="Times New Roman" w:eastAsia="Times New Roman" w:hAnsi="Times New Roman"/>
          <w:sz w:val="18"/>
          <w:szCs w:val="18"/>
          <w:u w:val="single" w:color="auto"/>
          <w:color w:val="0000FF"/>
        </w:rPr>
        <w:t>Note 1 – Significant Accounting Policies and Recently Issued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Accounting Standards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-139065</wp:posOffset>
            </wp:positionV>
            <wp:extent cx="1242695" cy="1289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3">
                      <a:extLst>
                        <a:ext uri="{28A0092B-C50C-407E-A947-70E740481C1C}"/>
                      </a:extLst>
                    </a:blip>
                    <a:srcRect/>
                    <a:stretch>
                      <a:fillRect/>
                    </a:stretch>
                  </pic:blipFill>
                  <pic:spPr bwMode="auto">
                    <a:xfrm>
                      <a:off x="0" y="0"/>
                      <a:ext cx="1242695" cy="128905"/>
                    </a:xfrm>
                    <a:prstGeom prst="rect">
                      <a:avLst/>
                    </a:prstGeom>
                    <a:noFill/>
                  </pic:spPr>
                </pic:pic>
              </a:graphicData>
            </a:graphic>
          </wp:anchor>
        </w:drawing>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color w:val="auto"/>
        </w:rPr>
        <w:t>Quarterly dividends returned $11,454 and $3,425 to shareholders in 2022 and 2021, respectively. On December 1, 2022, the Company’s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directors declared a $0.16 per share dividend to shareholders of record as of the close of business on February 10, 2023, paid on March 3, 2023.</w:t>
      </w:r>
    </w:p>
    <w:p>
      <w:pPr>
        <w:spacing w:after="0" w:line="1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Outstanding Shares. </w:t>
      </w:r>
      <w:r>
        <w:rPr>
          <w:rFonts w:ascii="Times New Roman" w:cs="Times New Roman" w:eastAsia="Times New Roman" w:hAnsi="Times New Roman"/>
          <w:sz w:val="18"/>
          <w:szCs w:val="18"/>
          <w:color w:val="auto"/>
        </w:rPr>
        <w:t>The Company had Series A and Series B common stock outstanding of 4,737,772 and 614,718, respectively, net of treasury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December 31, 2022. At December 31, 2021, the Company had Series A and Series B common stock outstanding of 4,737,580 and 614,910, respectively, net of treasury shares.</w:t>
      </w:r>
    </w:p>
    <w:p>
      <w:pPr>
        <w:spacing w:after="0" w:line="14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Accumulated Other Comprehensive Loss. </w:t>
      </w:r>
      <w:r>
        <w:rPr>
          <w:rFonts w:ascii="Times New Roman" w:cs="Times New Roman" w:eastAsia="Times New Roman" w:hAnsi="Times New Roman"/>
          <w:sz w:val="18"/>
          <w:szCs w:val="18"/>
          <w:color w:val="auto"/>
        </w:rPr>
        <w:t>Accumulated other comprehensive loss consists of actuarial gains and losses attributable to the DallasNews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Pension Plans, gains and losses resulting from Pension Plans’ amendments and other actuarial experience attributable to OPEB plans. The Company records amortization of the components of accumulated other comprehensive loss in other income (loss), net in its Consolidated Statements of Operations. Gains and losses are amortized over the weighted average remaining life expectancy of the OPEB plans and Pension Plans’ participants.</w:t>
      </w:r>
    </w:p>
    <w:p>
      <w:pPr>
        <w:spacing w:after="0" w:line="200" w:lineRule="exact"/>
        <w:rPr>
          <w:sz w:val="20"/>
          <w:szCs w:val="20"/>
          <w:color w:val="auto"/>
        </w:rPr>
      </w:pPr>
    </w:p>
    <w:p>
      <w:pPr>
        <w:spacing w:after="0" w:line="278" w:lineRule="exact"/>
        <w:rPr>
          <w:sz w:val="20"/>
          <w:szCs w:val="20"/>
          <w:color w:val="auto"/>
        </w:rPr>
      </w:pPr>
    </w:p>
    <w:p>
      <w:pPr>
        <w:jc w:val="right"/>
        <w:spacing w:after="0"/>
        <w:tabs>
          <w:tab w:leader="none" w:pos="700" w:val="left"/>
        </w:tabs>
        <w:rPr>
          <w:sz w:val="20"/>
          <w:szCs w:val="20"/>
          <w:color w:val="auto"/>
        </w:rPr>
      </w:pPr>
      <w:r>
        <w:rPr>
          <w:rFonts w:ascii="Times New Roman" w:cs="Times New Roman" w:eastAsia="Times New Roman" w:hAnsi="Times New Roman"/>
          <w:sz w:val="18"/>
          <w:szCs w:val="18"/>
          <w:color w:val="auto"/>
        </w:rPr>
        <w:t>DallasNews Corporation 2022 Annual Report on Form 10-K</w:t>
      </w:r>
      <w:r>
        <w:rPr>
          <w:sz w:val="20"/>
          <w:szCs w:val="20"/>
          <w:color w:val="auto"/>
        </w:rPr>
        <w:tab/>
      </w:r>
      <w:r>
        <w:rPr>
          <w:rFonts w:ascii="Times New Roman" w:cs="Times New Roman" w:eastAsia="Times New Roman" w:hAnsi="Times New Roman"/>
          <w:sz w:val="17"/>
          <w:szCs w:val="17"/>
          <w:b w:val="1"/>
          <w:bCs w:val="1"/>
          <w:color w:val="auto"/>
        </w:rPr>
        <w:t>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table below sets forth the changes in accumulated other comprehensive loss, net of tax, as presented in the Company’s consolidated financial statements.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2580" w:type="dxa"/>
            <w:vAlign w:val="bottom"/>
            <w:tcBorders>
              <w:top w:val="single" w:sz="8" w:color="auto"/>
              <w:bottom w:val="single" w:sz="8" w:color="auto"/>
            </w:tcBorders>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i w:val="1"/>
                <w:iCs w:val="1"/>
                <w:color w:val="auto"/>
              </w:rPr>
              <w:t>Years Ended December 31,</w:t>
            </w:r>
          </w:p>
        </w:tc>
        <w:tc>
          <w:tcPr>
            <w:tcW w:w="12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34"/>
              <w:spacing w:after="0"/>
              <w:rPr>
                <w:sz w:val="20"/>
                <w:szCs w:val="20"/>
                <w:color w:val="auto"/>
              </w:rPr>
            </w:pPr>
            <w:r>
              <w:rPr>
                <w:rFonts w:ascii="Times New Roman" w:cs="Times New Roman" w:eastAsia="Times New Roman" w:hAnsi="Times New Roman"/>
                <w:sz w:val="14"/>
                <w:szCs w:val="14"/>
                <w:b w:val="1"/>
                <w:bCs w:val="1"/>
                <w:i w:val="1"/>
                <w:iCs w:val="1"/>
                <w:color w:val="auto"/>
                <w:w w:val="99"/>
              </w:rPr>
              <w:t>2022</w:t>
            </w: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414"/>
              <w:spacing w:after="0"/>
              <w:rPr>
                <w:sz w:val="20"/>
                <w:szCs w:val="20"/>
                <w:color w:val="auto"/>
              </w:rPr>
            </w:pPr>
            <w:r>
              <w:rPr>
                <w:rFonts w:ascii="Times New Roman" w:cs="Times New Roman" w:eastAsia="Times New Roman" w:hAnsi="Times New Roman"/>
                <w:sz w:val="14"/>
                <w:szCs w:val="14"/>
                <w:b w:val="1"/>
                <w:bCs w:val="1"/>
                <w:i w:val="1"/>
                <w:iCs w:val="1"/>
                <w:color w:val="auto"/>
              </w:rPr>
              <w:t>2021</w:t>
            </w: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Defined</w:t>
            </w:r>
          </w:p>
        </w:tc>
        <w:tc>
          <w:tcPr>
            <w:tcW w:w="160" w:type="dxa"/>
            <w:vAlign w:val="bottom"/>
          </w:tcPr>
          <w:p>
            <w:pPr>
              <w:spacing w:after="0"/>
              <w:rPr>
                <w:sz w:val="11"/>
                <w:szCs w:val="11"/>
                <w:color w:val="auto"/>
              </w:rPr>
            </w:pPr>
          </w:p>
        </w:tc>
        <w:tc>
          <w:tcPr>
            <w:tcW w:w="1080" w:type="dxa"/>
            <w:vAlign w:val="bottom"/>
          </w:tcPr>
          <w:p>
            <w:pPr>
              <w:jc w:val="center"/>
              <w:ind w:right="59"/>
              <w:spacing w:after="0" w:line="137" w:lineRule="exact"/>
              <w:rPr>
                <w:sz w:val="20"/>
                <w:szCs w:val="20"/>
                <w:color w:val="auto"/>
              </w:rPr>
            </w:pPr>
            <w:r>
              <w:rPr>
                <w:rFonts w:ascii="Times New Roman" w:cs="Times New Roman" w:eastAsia="Times New Roman" w:hAnsi="Times New Roman"/>
                <w:sz w:val="14"/>
                <w:szCs w:val="14"/>
                <w:b w:val="1"/>
                <w:bCs w:val="1"/>
                <w:color w:val="auto"/>
              </w:rPr>
              <w:t>Other post-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3"/>
          </w:tcPr>
          <w:p>
            <w:pPr>
              <w:jc w:val="right"/>
              <w:ind w:right="520"/>
              <w:spacing w:after="0" w:line="137" w:lineRule="exact"/>
              <w:rPr>
                <w:sz w:val="20"/>
                <w:szCs w:val="20"/>
                <w:color w:val="auto"/>
              </w:rPr>
            </w:pPr>
            <w:r>
              <w:rPr>
                <w:rFonts w:ascii="Times New Roman" w:cs="Times New Roman" w:eastAsia="Times New Roman" w:hAnsi="Times New Roman"/>
                <w:sz w:val="14"/>
                <w:szCs w:val="14"/>
                <w:b w:val="1"/>
                <w:bCs w:val="1"/>
                <w:color w:val="auto"/>
              </w:rPr>
              <w:t>Defined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right="38"/>
              <w:spacing w:after="0" w:line="137" w:lineRule="exact"/>
              <w:rPr>
                <w:sz w:val="20"/>
                <w:szCs w:val="20"/>
                <w:color w:val="auto"/>
              </w:rPr>
            </w:pPr>
            <w:r>
              <w:rPr>
                <w:rFonts w:ascii="Times New Roman" w:cs="Times New Roman" w:eastAsia="Times New Roman" w:hAnsi="Times New Roman"/>
                <w:sz w:val="14"/>
                <w:szCs w:val="14"/>
                <w:b w:val="1"/>
                <w:bCs w:val="1"/>
                <w:color w:val="auto"/>
              </w:rPr>
              <w:t>Other post-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8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6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employment</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4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7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employment</w:t>
            </w:r>
          </w:p>
        </w:tc>
        <w:tc>
          <w:tcPr>
            <w:tcW w:w="0" w:type="dxa"/>
            <w:vAlign w:val="bottom"/>
          </w:tcPr>
          <w:p>
            <w:pPr>
              <w:spacing w:after="0"/>
              <w:rPr>
                <w:sz w:val="1"/>
                <w:szCs w:val="1"/>
                <w:color w:val="auto"/>
              </w:rPr>
            </w:pPr>
          </w:p>
        </w:tc>
      </w:tr>
      <w:tr>
        <w:trPr>
          <w:trHeight w:val="194"/>
        </w:trPr>
        <w:tc>
          <w:tcPr>
            <w:tcW w:w="2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6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0" w:type="dxa"/>
            <w:vAlign w:val="bottom"/>
          </w:tcPr>
          <w:p>
            <w:pPr>
              <w:spacing w:after="0"/>
              <w:rPr>
                <w:sz w:val="1"/>
                <w:szCs w:val="1"/>
                <w:color w:val="auto"/>
              </w:rPr>
            </w:pPr>
          </w:p>
        </w:tc>
      </w:tr>
      <w:tr>
        <w:trPr>
          <w:trHeight w:val="189"/>
        </w:trPr>
        <w:tc>
          <w:tcPr>
            <w:tcW w:w="264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Balance, beginning of period</w:t>
            </w:r>
          </w:p>
        </w:tc>
        <w:tc>
          <w:tcPr>
            <w:tcW w:w="820" w:type="dxa"/>
            <w:vAlign w:val="bottom"/>
            <w:tcBorders>
              <w:top w:val="single" w:sz="8" w:color="auto"/>
            </w:tcBorders>
            <w:gridSpan w:val="2"/>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(32,406)</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(32,485)</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79</w:t>
            </w: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(32,468)</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97"/>
              </w:rPr>
              <w:t>(32,571)</w:t>
            </w: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Amortization</w:t>
            </w: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522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526</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1,440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1,444</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64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Actuarial gains (losses)</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(9,496)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(9,818)</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(1,378)</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(1,358)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6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Balance, end of period</w:t>
            </w:r>
          </w:p>
        </w:tc>
        <w:tc>
          <w:tcPr>
            <w:tcW w:w="540" w:type="dxa"/>
            <w:vAlign w:val="bottom"/>
            <w:tcBorders>
              <w:top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(41,380)</w:t>
            </w: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(41,777)</w:t>
            </w:r>
          </w:p>
        </w:tc>
        <w:tc>
          <w:tcPr>
            <w:tcW w:w="160" w:type="dxa"/>
            <w:vAlign w:val="bottom"/>
            <w:tcBorders>
              <w:top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397</w:t>
            </w:r>
          </w:p>
        </w:tc>
        <w:tc>
          <w:tcPr>
            <w:tcW w:w="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(32,406)</w:t>
            </w:r>
          </w:p>
        </w:tc>
        <w:tc>
          <w:tcPr>
            <w:tcW w:w="140" w:type="dxa"/>
            <w:vAlign w:val="bottom"/>
            <w:tcBorders>
              <w:top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w w:val="97"/>
              </w:rPr>
              <w:t>(32,485)</w:t>
            </w: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 7: Earnings Per Share</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table below sets forth the net loss available to common shareholders and weighted average shares used for calculating basic earnings per share (“EPS”). The Company’s Series A and Series B common stock equally share in the distributed and undistributed earnings.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40" w:type="dxa"/>
            <w:vAlign w:val="bottom"/>
            <w:tcBorders>
              <w:top w:val="single" w:sz="8" w:color="auto"/>
              <w:bottom w:val="single" w:sz="8" w:color="auto"/>
            </w:tcBorders>
          </w:tcPr>
          <w:p>
            <w:pPr>
              <w:spacing w:after="0"/>
              <w:rPr>
                <w:sz w:val="17"/>
                <w:szCs w:val="17"/>
                <w:color w:val="auto"/>
              </w:rPr>
            </w:pPr>
          </w:p>
        </w:tc>
        <w:tc>
          <w:tcPr>
            <w:tcW w:w="18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Years Ended December 31,</w:t>
            </w:r>
          </w:p>
        </w:tc>
        <w:tc>
          <w:tcPr>
            <w:tcW w:w="1240" w:type="dxa"/>
            <w:vAlign w:val="bottom"/>
            <w:tcBorders>
              <w:top w:val="single" w:sz="8" w:color="auto"/>
              <w:bottom w:val="single" w:sz="8" w:color="auto"/>
            </w:tcBorders>
          </w:tcPr>
          <w:p>
            <w:pPr>
              <w:spacing w:after="0"/>
              <w:rPr>
                <w:sz w:val="17"/>
                <w:szCs w:val="17"/>
                <w:color w:val="auto"/>
              </w:rPr>
            </w:pPr>
          </w:p>
        </w:tc>
      </w:tr>
      <w:tr>
        <w:trPr>
          <w:trHeight w:val="196"/>
        </w:trPr>
        <w:tc>
          <w:tcPr>
            <w:tcW w:w="550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4"/>
                <w:szCs w:val="14"/>
                <w:b w:val="1"/>
                <w:bCs w:val="1"/>
                <w:i w:val="1"/>
                <w:iCs w:val="1"/>
                <w:color w:val="auto"/>
              </w:rPr>
              <w:t>2021</w:t>
            </w:r>
          </w:p>
        </w:tc>
      </w:tr>
      <w:tr>
        <w:trPr>
          <w:trHeight w:val="203"/>
        </w:trPr>
        <w:tc>
          <w:tcPr>
            <w:tcW w:w="55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Earnings (Numerator)</w:t>
            </w:r>
          </w:p>
        </w:tc>
        <w:tc>
          <w:tcPr>
            <w:tcW w:w="15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550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Net loss available to common shareholders</w:t>
            </w:r>
          </w:p>
        </w:tc>
        <w:tc>
          <w:tcPr>
            <w:tcW w:w="2660" w:type="dxa"/>
            <w:vAlign w:val="bottom"/>
            <w:gridSpan w:val="2"/>
          </w:tcPr>
          <w:p>
            <w:pPr>
              <w:jc w:val="right"/>
              <w:ind w:right="10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(9,786)</w:t>
            </w:r>
          </w:p>
        </w:tc>
        <w:tc>
          <w:tcPr>
            <w:tcW w:w="820" w:type="dxa"/>
            <w:vAlign w:val="bottom"/>
          </w:tcPr>
          <w:p>
            <w:pPr>
              <w:jc w:val="right"/>
              <w:ind w:right="63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(467)</w:t>
            </w:r>
          </w:p>
        </w:tc>
      </w:tr>
      <w:tr>
        <w:trPr>
          <w:trHeight w:val="203"/>
        </w:trPr>
        <w:tc>
          <w:tcPr>
            <w:tcW w:w="55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550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Shares (Denominator)</w:t>
            </w:r>
          </w:p>
        </w:tc>
        <w:tc>
          <w:tcPr>
            <w:tcW w:w="1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550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15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9"/>
              </w:rPr>
              <w:t>5,352,490</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5,352,490</w:t>
            </w:r>
          </w:p>
        </w:tc>
      </w:tr>
      <w:tr>
        <w:trPr>
          <w:trHeight w:val="203"/>
        </w:trPr>
        <w:tc>
          <w:tcPr>
            <w:tcW w:w="55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55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Loss Per Share</w:t>
            </w:r>
          </w:p>
        </w:tc>
        <w:tc>
          <w:tcPr>
            <w:tcW w:w="15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550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Basic</w:t>
            </w:r>
          </w:p>
        </w:tc>
        <w:tc>
          <w:tcPr>
            <w:tcW w:w="2660" w:type="dxa"/>
            <w:vAlign w:val="bottom"/>
            <w:gridSpan w:val="2"/>
          </w:tcPr>
          <w:p>
            <w:pPr>
              <w:jc w:val="right"/>
              <w:ind w:right="10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(1.83)</w:t>
            </w:r>
          </w:p>
        </w:tc>
        <w:tc>
          <w:tcPr>
            <w:tcW w:w="820" w:type="dxa"/>
            <w:vAlign w:val="bottom"/>
          </w:tcPr>
          <w:p>
            <w:pPr>
              <w:jc w:val="right"/>
              <w:ind w:right="63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(0.09)</w:t>
            </w:r>
          </w:p>
        </w:tc>
      </w:tr>
      <w:tr>
        <w:trPr>
          <w:trHeight w:val="20"/>
        </w:trPr>
        <w:tc>
          <w:tcPr>
            <w:tcW w:w="5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There were no options or RSUs outstanding as of December 31, 2022 and 2021, that would result in dilution of shares or the calculation of EPS under the two-class method as prescribed under ASC 260 –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8: Commitments and Contingencies</w:t>
      </w:r>
    </w:p>
    <w:p>
      <w:pPr>
        <w:spacing w:after="0" w:line="175"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8"/>
          <w:szCs w:val="18"/>
          <w:color w:val="auto"/>
        </w:rPr>
        <w:t xml:space="preserve">As of December 31, 2022, the Company had contractual obligations, in aggregate, of $12,283 for the next five years and $14,342 thereafter, for operating leases, primarily for office space and other distribution centers, some of which include escalating lease payments. See </w:t>
      </w:r>
      <w:r>
        <w:rPr>
          <w:rFonts w:ascii="Times New Roman" w:cs="Times New Roman" w:eastAsia="Times New Roman" w:hAnsi="Times New Roman"/>
          <w:sz w:val="18"/>
          <w:szCs w:val="18"/>
          <w:u w:val="single" w:color="auto"/>
          <w:color w:val="0000FF"/>
        </w:rPr>
        <w:t>Note 3 – Leases</w:t>
      </w:r>
      <w:r>
        <w:rPr>
          <w:rFonts w:ascii="Times New Roman" w:cs="Times New Roman" w:eastAsia="Times New Roman" w:hAnsi="Times New Roman"/>
          <w:sz w:val="18"/>
          <w:szCs w:val="18"/>
          <w:color w:val="auto"/>
        </w:rPr>
        <w:t xml:space="preserve"> for future lease payments by year.</w:t>
      </w:r>
    </w:p>
    <w:p>
      <w:pPr>
        <w:spacing w:after="0" w:line="15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December 2016, the Dallas Morning News, Inc., a wholly-owned subsidiary of the Company, entered into a 16-year lease agreement for office space for the Company’s new corporate headquarters. The Company recognizes rent expense on a straight-line basis. Per the amended lease agreement, rent payments began in November 2018.</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lease expense for property and equipment was $4,796 and $5,018 in 2022 and 2021, respectively.</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The Company funds the DallasNews Pension Plans to meet or exceed statutory requirements. The Company currently does not expect to make contributions to the DallasNews Pension Plans in 2023 and no contributions are required to these plans in 2023 under the applicable tax and labor laws governing pension plan funding; see </w:t>
      </w:r>
      <w:r>
        <w:rPr>
          <w:rFonts w:ascii="Times New Roman" w:cs="Times New Roman" w:eastAsia="Times New Roman" w:hAnsi="Times New Roman"/>
          <w:sz w:val="18"/>
          <w:szCs w:val="18"/>
          <w:u w:val="single" w:color="auto"/>
          <w:color w:val="0000FF"/>
        </w:rPr>
        <w:t>Note 5 - Pension and Other Retirement Plans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-25400</wp:posOffset>
            </wp:positionV>
            <wp:extent cx="205930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6">
                      <a:extLst>
                        <a:ext uri="{28A0092B-C50C-407E-A947-70E740481C1C}"/>
                      </a:extLst>
                    </a:blip>
                    <a:srcRect/>
                    <a:stretch>
                      <a:fillRect/>
                    </a:stretch>
                  </pic:blipFill>
                  <pic:spPr bwMode="auto">
                    <a:xfrm>
                      <a:off x="0" y="0"/>
                      <a:ext cx="2059305" cy="8255"/>
                    </a:xfrm>
                    <a:prstGeom prst="rect">
                      <a:avLst/>
                    </a:prstGeom>
                    <a:noFill/>
                  </pic:spPr>
                </pic:pic>
              </a:graphicData>
            </a:graphic>
          </wp:anchor>
        </w:drawing>
      </w:r>
    </w:p>
    <w:p>
      <w:pPr>
        <w:spacing w:after="0" w:line="13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 xml:space="preserve">From time to time, the Company is involved in a variety of claims, lawsuits and other disputes arising in the ordinary course of business. </w:t>
      </w:r>
      <w:r>
        <w:rPr>
          <w:rFonts w:ascii="Times New Roman" w:cs="Times New Roman" w:eastAsia="Times New Roman" w:hAnsi="Times New Roman"/>
          <w:sz w:val="18"/>
          <w:szCs w:val="18"/>
          <w:color w:val="222222"/>
        </w:rPr>
        <w:t>Management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routinely assesses the likelihood of adverse judgments or outcomes in these matters, as well as the ranges of probable losses to the extent losses are reasonably estimable. Accruals for contingencies are recorded when, in the judgment of management, adverse judgments or outcomes are probable and the financial impact, should an adverse outcome occur, is reasonably estimable. The determination </w:t>
      </w:r>
      <w:r>
        <w:rPr>
          <w:rFonts w:ascii="Times New Roman" w:cs="Times New Roman" w:eastAsia="Times New Roman" w:hAnsi="Times New Roman"/>
          <w:sz w:val="18"/>
          <w:szCs w:val="18"/>
          <w:color w:val="000000"/>
        </w:rPr>
        <w:t>of likely outcomes of litigation matters relates to factors that</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include, but are not limited to, past experience and other evidence, interpretation of relevant laws or regulations and the specifics and status of each matter. Predicting the outcome of claims and litigation and estimating related costs and financial exposure involves substantial uncertainties that could cause actual results to vary materially from estimates and accruals. In the opinion of management, liabilities, if any, arising from other currently existing claims against the Company would not have a material adverse effect on DallasNews’ results of operations, liquidity or financial condition.</w:t>
      </w:r>
    </w:p>
    <w:p>
      <w:pPr>
        <w:spacing w:after="0" w:line="279" w:lineRule="exact"/>
        <w:rPr>
          <w:sz w:val="20"/>
          <w:szCs w:val="20"/>
          <w:color w:val="auto"/>
        </w:rPr>
      </w:pPr>
    </w:p>
    <w:p>
      <w:pPr>
        <w:jc w:val="right"/>
        <w:spacing w:after="0"/>
        <w:tabs>
          <w:tab w:leader="none" w:pos="700" w:val="left"/>
        </w:tabs>
        <w:rPr>
          <w:sz w:val="20"/>
          <w:szCs w:val="20"/>
          <w:color w:val="auto"/>
        </w:rPr>
      </w:pPr>
      <w:r>
        <w:rPr>
          <w:rFonts w:ascii="Times New Roman" w:cs="Times New Roman" w:eastAsia="Times New Roman" w:hAnsi="Times New Roman"/>
          <w:sz w:val="18"/>
          <w:szCs w:val="18"/>
          <w:color w:val="auto"/>
        </w:rPr>
        <w:t>DallasNews Corporation 2022 Annual Report on Form 10-K</w:t>
      </w:r>
      <w:r>
        <w:rPr>
          <w:sz w:val="20"/>
          <w:szCs w:val="20"/>
          <w:color w:val="auto"/>
        </w:rPr>
        <w:tab/>
      </w:r>
      <w:r>
        <w:rPr>
          <w:rFonts w:ascii="Times New Roman" w:cs="Times New Roman" w:eastAsia="Times New Roman" w:hAnsi="Times New Roman"/>
          <w:sz w:val="17"/>
          <w:szCs w:val="17"/>
          <w:b w:val="1"/>
          <w:bCs w:val="1"/>
          <w:color w:val="auto"/>
        </w:rPr>
        <w:t>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Note 9: Supplemental Cash Flow Data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supplemental disclosures related to the Company’s Consolidated Statements of Cash Flows.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600" w:type="dxa"/>
            <w:vAlign w:val="bottom"/>
            <w:tcBorders>
              <w:top w:val="single" w:sz="8" w:color="auto"/>
              <w:bottom w:val="single" w:sz="8" w:color="auto"/>
            </w:tcBorders>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i w:val="1"/>
                <w:iCs w:val="1"/>
                <w:color w:val="auto"/>
              </w:rPr>
              <w:t>Years Ended December 31,</w:t>
            </w:r>
          </w:p>
        </w:tc>
        <w:tc>
          <w:tcPr>
            <w:tcW w:w="460" w:type="dxa"/>
            <w:vAlign w:val="bottom"/>
            <w:tcBorders>
              <w:top w:val="single" w:sz="8" w:color="auto"/>
              <w:bottom w:val="single" w:sz="8" w:color="auto"/>
            </w:tcBorders>
          </w:tcPr>
          <w:p>
            <w:pPr>
              <w:spacing w:after="0"/>
              <w:rPr>
                <w:sz w:val="17"/>
                <w:szCs w:val="17"/>
                <w:color w:val="auto"/>
              </w:rPr>
            </w:pPr>
          </w:p>
        </w:tc>
      </w:tr>
      <w:tr>
        <w:trPr>
          <w:trHeight w:val="183"/>
        </w:trPr>
        <w:tc>
          <w:tcPr>
            <w:tcW w:w="60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460" w:type="dxa"/>
            <w:vAlign w:val="bottom"/>
          </w:tcPr>
          <w:p>
            <w:pPr>
              <w:spacing w:after="0"/>
              <w:rPr>
                <w:sz w:val="15"/>
                <w:szCs w:val="15"/>
                <w:color w:val="auto"/>
              </w:rPr>
            </w:pPr>
          </w:p>
        </w:tc>
        <w:tc>
          <w:tcPr>
            <w:tcW w:w="116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i w:val="1"/>
                <w:iCs w:val="1"/>
                <w:color w:val="auto"/>
              </w:rPr>
              <w:t>2021</w:t>
            </w:r>
          </w:p>
        </w:tc>
        <w:tc>
          <w:tcPr>
            <w:tcW w:w="460" w:type="dxa"/>
            <w:vAlign w:val="bottom"/>
          </w:tcPr>
          <w:p>
            <w:pPr>
              <w:spacing w:after="0"/>
              <w:rPr>
                <w:sz w:val="15"/>
                <w:szCs w:val="15"/>
                <w:color w:val="auto"/>
              </w:rPr>
            </w:pPr>
          </w:p>
        </w:tc>
      </w:tr>
      <w:tr>
        <w:trPr>
          <w:trHeight w:val="189"/>
        </w:trPr>
        <w:tc>
          <w:tcPr>
            <w:tcW w:w="608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Income tax paid, net</w:t>
            </w:r>
          </w:p>
        </w:tc>
        <w:tc>
          <w:tcPr>
            <w:tcW w:w="3080" w:type="dxa"/>
            <w:vAlign w:val="bottom"/>
            <w:tcBorders>
              <w:top w:val="single" w:sz="8" w:color="auto"/>
            </w:tcBorders>
            <w:gridSpan w:val="2"/>
            <w:shd w:val="clear" w:color="auto" w:fill="CCEEFF"/>
          </w:tcPr>
          <w:p>
            <w:pPr>
              <w:jc w:val="right"/>
              <w:ind w:right="828"/>
              <w:spacing w:after="0" w:line="189"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619</w:t>
            </w:r>
          </w:p>
        </w:tc>
        <w:tc>
          <w:tcPr>
            <w:tcW w:w="1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ind w:right="81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666</w:t>
            </w:r>
          </w:p>
        </w:tc>
      </w:tr>
      <w:tr>
        <w:trPr>
          <w:trHeight w:val="189"/>
        </w:trPr>
        <w:tc>
          <w:tcPr>
            <w:tcW w:w="60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89"/>
        </w:trPr>
        <w:tc>
          <w:tcPr>
            <w:tcW w:w="60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Investments in property, plant and equipment payable</w:t>
            </w:r>
          </w:p>
        </w:tc>
        <w:tc>
          <w:tcPr>
            <w:tcW w:w="2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245</w:t>
            </w:r>
          </w:p>
        </w:tc>
      </w:tr>
      <w:tr>
        <w:trPr>
          <w:trHeight w:val="234"/>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Dividends payable</w:t>
            </w:r>
          </w:p>
        </w:tc>
        <w:tc>
          <w:tcPr>
            <w:tcW w:w="2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10: Disposal of Assets</w:t>
      </w:r>
    </w:p>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May 2019, the Company finalized a Purchase and Sale Agreement with Charter DMN Holdings, LP (the “Purchaser”) for the sale of the real estate assets in downtown Dallas, Texas, previously used as the Company’s headquarters for a sale price of $28,000 and a pretax gain of $25,908. The sale price consisted of $4,597 cash received, after selling costs of approximately $1,000, and a two year seller-financed promissory note of $22,400 (the “Promissory Note”), included in current notes receivable in the December 31, 2021 Consolidated Balance Sheet.</w:t>
      </w: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Effective June 30, 2022, the Company and the Purchaser entered into an agreement extending the maturity date of the Promissory Note to July 29, 2022 (the “Third Modification Agreement”). The unpaid, original principal balance of the Promissory Note accrued interest at the rate of 6.5 percent.</w:t>
      </w:r>
    </w:p>
    <w:p>
      <w:pPr>
        <w:spacing w:after="0" w:line="14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July 29, 2022, the Company was paid in full, receiving cash proceeds of $22,516, including interest, due from the Purchaser under the Third Modification Agreement.</w:t>
      </w:r>
    </w:p>
    <w:p>
      <w:pPr>
        <w:spacing w:after="0" w:line="14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2022 and 2021, the Company recorded $616 and $1,008, respectively, of interest income related to the Promissory Note, included in other income (loss), net in the Consolidated Statements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2021, the Company sold inactive IP addresses for $1,349, included in other income (loss), net in the Consolidated Statements of Operations.</w:t>
      </w:r>
    </w:p>
    <w:p>
      <w:pPr>
        <w:spacing w:after="0" w:line="18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Note 11: Subsequent Events</w:t>
      </w:r>
    </w:p>
    <w:p>
      <w:pPr>
        <w:spacing w:after="0" w:line="189"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8"/>
          <w:szCs w:val="18"/>
          <w:color w:val="auto"/>
        </w:rPr>
        <w:t>The Company evaluates subsequent events at the date of the consolidated balance sheet as well as conditions that arise after the balance sheet date but before the consolidated financial statements are issued. To the extent any events and conditions exist, disclosures are made regarding the nature of events and the estimated financial effects for those events and conditions.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9, 2023, the Company’s board of directors declared a $0.16 per share dividend to shareholders of record as of the close of business on May 12, 2023, which is payable on June 2, 2023.</w:t>
      </w:r>
    </w:p>
    <w:p>
      <w:pPr>
        <w:spacing w:after="0" w:line="200" w:lineRule="exact"/>
        <w:rPr>
          <w:sz w:val="20"/>
          <w:szCs w:val="20"/>
          <w:color w:val="auto"/>
        </w:rPr>
      </w:pPr>
    </w:p>
    <w:p>
      <w:pPr>
        <w:spacing w:after="0" w:line="282" w:lineRule="exact"/>
        <w:rPr>
          <w:sz w:val="20"/>
          <w:szCs w:val="20"/>
          <w:color w:val="auto"/>
        </w:rPr>
      </w:pPr>
    </w:p>
    <w:p>
      <w:pPr>
        <w:jc w:val="right"/>
        <w:spacing w:after="0"/>
        <w:tabs>
          <w:tab w:leader="none" w:pos="700" w:val="left"/>
        </w:tabs>
        <w:rPr>
          <w:sz w:val="20"/>
          <w:szCs w:val="20"/>
          <w:color w:val="auto"/>
        </w:rPr>
      </w:pPr>
      <w:r>
        <w:rPr>
          <w:rFonts w:ascii="Times New Roman" w:cs="Times New Roman" w:eastAsia="Times New Roman" w:hAnsi="Times New Roman"/>
          <w:sz w:val="18"/>
          <w:szCs w:val="18"/>
          <w:color w:val="auto"/>
        </w:rPr>
        <w:t>DallasNews Corporation 2022 Annual Report on Form 10-K</w:t>
      </w:r>
      <w:r>
        <w:rPr>
          <w:sz w:val="20"/>
          <w:szCs w:val="20"/>
          <w:color w:val="auto"/>
        </w:rPr>
        <w:tab/>
      </w:r>
      <w:r>
        <w:rPr>
          <w:rFonts w:ascii="Times New Roman" w:cs="Times New Roman" w:eastAsia="Times New Roman" w:hAnsi="Times New Roman"/>
          <w:sz w:val="17"/>
          <w:szCs w:val="17"/>
          <w:b w:val="1"/>
          <w:bCs w:val="1"/>
          <w:color w:val="auto"/>
        </w:rPr>
        <w:t>PAGE 45</w:t>
      </w:r>
    </w:p>
    <w:p>
      <w:pPr>
        <w:sectPr>
          <w:pgSz w:w="11900" w:h="16838" w:orient="portrait"/>
          <w:cols w:equalWidth="0" w:num="1">
            <w:col w:w="11240"/>
          </w:cols>
          <w:pgMar w:left="320" w:top="108" w:right="339" w:bottom="1440" w:gutter="0" w:footer="0" w:header="0"/>
        </w:sectPr>
      </w:pPr>
    </w:p>
    <w:bookmarkStart w:id="45" w:name="page46"/>
    <w:bookmarkEnd w:id="45"/>
    <w:p>
      <w:pPr>
        <w:ind w:left="8980"/>
        <w:spacing w:after="0"/>
        <w:rPr>
          <w:sz w:val="20"/>
          <w:szCs w:val="20"/>
          <w:color w:val="auto"/>
        </w:rPr>
      </w:pPr>
      <w:r>
        <w:rPr>
          <w:rFonts w:ascii="Times New Roman" w:cs="Times New Roman" w:eastAsia="Times New Roman" w:hAnsi="Times New Roman"/>
          <w:sz w:val="22"/>
          <w:szCs w:val="22"/>
          <w:b w:val="1"/>
          <w:bCs w:val="1"/>
          <w:color w:val="auto"/>
        </w:rPr>
        <w:t>Exhibit 21</w:t>
      </w:r>
    </w:p>
    <w:p>
      <w:pPr>
        <w:spacing w:after="0" w:line="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LIST OF SUBSIDIARIES OF DALLASNEWS CORPORATION</w:t>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Jurisdiction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640" w:type="dxa"/>
            <w:vAlign w:val="bottom"/>
            <w:gridSpan w:val="2"/>
            <w:vMerge w:val="continue"/>
          </w:tcPr>
          <w:p>
            <w:pPr>
              <w:spacing w:after="0"/>
              <w:rPr>
                <w:sz w:val="15"/>
                <w:szCs w:val="15"/>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 H. Belo Management Services, Inc.</w:t>
            </w:r>
          </w:p>
        </w:tc>
        <w:tc>
          <w:tcPr>
            <w:tcW w:w="180" w:type="dxa"/>
            <w:vAlign w:val="bottom"/>
            <w:tcBorders>
              <w:top w:val="single" w:sz="8" w:color="CCEEFF"/>
            </w:tcBorders>
            <w:shd w:val="clear" w:color="auto" w:fill="CCEEFF"/>
          </w:tcPr>
          <w:p>
            <w:pPr>
              <w:spacing w:after="0"/>
              <w:rPr>
                <w:sz w:val="19"/>
                <w:szCs w:val="19"/>
                <w:color w:val="auto"/>
              </w:rPr>
            </w:pPr>
          </w:p>
        </w:tc>
        <w:tc>
          <w:tcPr>
            <w:tcW w:w="4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Belo Lead Management LLC*</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NewsRight, LLC*</w:t>
            </w:r>
          </w:p>
        </w:tc>
        <w:tc>
          <w:tcPr>
            <w:tcW w:w="4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AHC California Dispositions, Inc.</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AHC California Properties, LLC</w:t>
            </w:r>
          </w:p>
        </w:tc>
        <w:tc>
          <w:tcPr>
            <w:tcW w:w="4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AHC Dallas Properties, LLC</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Distribion, Inc.</w:t>
            </w:r>
          </w:p>
        </w:tc>
        <w:tc>
          <w:tcPr>
            <w:tcW w:w="4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CDFX, LLC</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Vertical Nerve, Inc.</w:t>
            </w:r>
          </w:p>
        </w:tc>
        <w:tc>
          <w:tcPr>
            <w:tcW w:w="4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Belo Enterprises, Inc.</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Belo Interactive, Inc.</w:t>
            </w:r>
          </w:p>
        </w:tc>
        <w:tc>
          <w:tcPr>
            <w:tcW w:w="4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Belo Investments II, Inc.</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Belo Company (The)</w:t>
            </w:r>
          </w:p>
        </w:tc>
        <w:tc>
          <w:tcPr>
            <w:tcW w:w="4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Cubic Creative, Inc.</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Dallas Morning News, Inc. (The)</w:t>
            </w:r>
          </w:p>
        </w:tc>
        <w:tc>
          <w:tcPr>
            <w:tcW w:w="4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DMI Acquisition Sub, Inc.</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Fountain Street Corporation</w:t>
            </w:r>
          </w:p>
        </w:tc>
        <w:tc>
          <w:tcPr>
            <w:tcW w:w="4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Rhode Island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Medium Giant Company, Inc.</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Providence Journal Company (The)</w:t>
            </w:r>
          </w:p>
        </w:tc>
        <w:tc>
          <w:tcPr>
            <w:tcW w:w="4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*Non-wholly owned</w:t>
            </w:r>
          </w:p>
        </w:tc>
        <w:tc>
          <w:tcPr>
            <w:tcW w:w="4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6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43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43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6302375</wp:posOffset>
            </wp:positionH>
            <wp:positionV relativeFrom="paragraph">
              <wp:posOffset>-38100</wp:posOffset>
            </wp:positionV>
            <wp:extent cx="33655" cy="514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9">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3655" cy="514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0">
                      <a:extLst>
                        <a:ext uri="{28A0092B-C50C-407E-A947-70E740481C1C}"/>
                      </a:extLst>
                    </a:blip>
                    <a:srcRect/>
                    <a:stretch>
                      <a:fillRect/>
                    </a:stretch>
                  </pic:blipFill>
                  <pic:spPr bwMode="auto">
                    <a:xfrm>
                      <a:off x="0" y="0"/>
                      <a:ext cx="33655" cy="51435"/>
                    </a:xfrm>
                    <a:prstGeom prst="rect">
                      <a:avLst/>
                    </a:prstGeom>
                    <a:noFill/>
                  </pic:spPr>
                </pic:pic>
              </a:graphicData>
            </a:graphic>
          </wp:anchor>
        </w:drawing>
      </w:r>
    </w:p>
    <w:p>
      <w:pPr>
        <w:sectPr>
          <w:pgSz w:w="11900" w:h="16838" w:orient="portrait"/>
          <w:cols w:equalWidth="0" w:num="1">
            <w:col w:w="9960"/>
          </w:cols>
          <w:pgMar w:left="980" w:top="108" w:right="95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16" w:lineRule="exact"/>
        <w:rPr>
          <w:sz w:val="20"/>
          <w:szCs w:val="20"/>
          <w:color w:val="auto"/>
        </w:rPr>
      </w:pPr>
    </w:p>
    <w:p>
      <w:pPr>
        <w:ind w:right="100" w:firstLine="1086"/>
        <w:spacing w:after="0" w:line="236" w:lineRule="auto"/>
        <w:rPr>
          <w:sz w:val="20"/>
          <w:szCs w:val="20"/>
          <w:color w:val="auto"/>
        </w:rPr>
      </w:pPr>
      <w:r>
        <w:rPr>
          <w:rFonts w:ascii="Times New Roman" w:cs="Times New Roman" w:eastAsia="Times New Roman" w:hAnsi="Times New Roman"/>
          <w:sz w:val="18"/>
          <w:szCs w:val="18"/>
          <w:color w:val="auto"/>
        </w:rPr>
        <w:t>We have issued our report dated March 9, 2023, with respect to the consolidated financial statements included in the Annual Report of DallasNews Corporation on Form 10-K for the year ended December 31, 2022. We consent to the incorporation by reference of said report in the Registration Statement of DallasNews Corporation on Form S-8 (File No. 333-218601).</w:t>
      </w:r>
    </w:p>
    <w:p>
      <w:pPr>
        <w:spacing w:after="0" w:line="16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17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Dallas, Texas</w:t>
      </w:r>
    </w:p>
    <w:p>
      <w:pPr>
        <w:ind w:left="1060"/>
        <w:spacing w:after="0"/>
        <w:rPr>
          <w:sz w:val="20"/>
          <w:szCs w:val="20"/>
          <w:color w:val="auto"/>
        </w:rPr>
      </w:pPr>
      <w:r>
        <w:rPr>
          <w:rFonts w:ascii="Times New Roman" w:cs="Times New Roman" w:eastAsia="Times New Roman" w:hAnsi="Times New Roman"/>
          <w:sz w:val="18"/>
          <w:szCs w:val="18"/>
          <w:color w:val="auto"/>
        </w:rPr>
        <w:t>March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607060</wp:posOffset>
            </wp:positionH>
            <wp:positionV relativeFrom="paragraph">
              <wp:posOffset>394970</wp:posOffset>
            </wp:positionV>
            <wp:extent cx="6351905" cy="514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1">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10920"/>
          </w:cols>
          <w:pgMar w:left="0" w:top="117" w:right="97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664"/>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Grant S. Moise, Chief Executive Officer of DallasNews Corporation, certify that:</w:t>
      </w:r>
    </w:p>
    <w:p>
      <w:pPr>
        <w:spacing w:after="0" w:line="158" w:lineRule="exact"/>
        <w:rPr>
          <w:sz w:val="20"/>
          <w:szCs w:val="20"/>
          <w:color w:val="auto"/>
        </w:rPr>
      </w:pPr>
    </w:p>
    <w:p>
      <w:pPr>
        <w:ind w:left="324" w:hanging="324"/>
        <w:spacing w:after="0"/>
        <w:tabs>
          <w:tab w:leader="none" w:pos="3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the Annual Report on Form 10-K of DallasNews Corporation;</w:t>
      </w:r>
    </w:p>
    <w:p>
      <w:pPr>
        <w:spacing w:after="0" w:line="157"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jc w:val="both"/>
        <w:ind w:left="324" w:right="20" w:hanging="324"/>
        <w:spacing w:after="0" w:line="266" w:lineRule="auto"/>
        <w:tabs>
          <w:tab w:leader="none" w:pos="3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jc w:val="both"/>
        <w:ind w:left="644" w:right="20" w:hanging="320"/>
        <w:spacing w:after="0" w:line="266" w:lineRule="auto"/>
        <w:tabs>
          <w:tab w:leader="none" w:pos="64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jc w:val="both"/>
        <w:ind w:left="644" w:right="20" w:hanging="320"/>
        <w:spacing w:after="0" w:line="266" w:lineRule="auto"/>
        <w:tabs>
          <w:tab w:leader="none" w:pos="64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jc w:val="both"/>
        <w:ind w:left="644" w:right="20" w:hanging="320"/>
        <w:spacing w:after="0" w:line="266" w:lineRule="auto"/>
        <w:tabs>
          <w:tab w:leader="none" w:pos="64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jc w:val="both"/>
        <w:ind w:left="644" w:hanging="320"/>
        <w:spacing w:after="0" w:line="266" w:lineRule="auto"/>
        <w:tabs>
          <w:tab w:leader="none" w:pos="64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jc w:val="both"/>
        <w:ind w:left="644" w:right="20" w:hanging="320"/>
        <w:spacing w:after="0" w:line="266" w:lineRule="auto"/>
        <w:tabs>
          <w:tab w:leader="none" w:pos="64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644" w:right="20" w:hanging="320"/>
        <w:spacing w:after="0" w:line="282" w:lineRule="auto"/>
        <w:tabs>
          <w:tab w:leader="none" w:pos="64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4544"/>
        <w:spacing w:after="0"/>
        <w:tabs>
          <w:tab w:leader="none" w:pos="5044" w:val="left"/>
        </w:tabs>
        <w:rPr>
          <w:sz w:val="20"/>
          <w:szCs w:val="20"/>
          <w:color w:val="auto"/>
        </w:rPr>
      </w:pPr>
      <w:r>
        <w:rPr>
          <w:rFonts w:ascii="Times New Roman" w:cs="Times New Roman" w:eastAsia="Times New Roman" w:hAnsi="Times New Roman"/>
          <w:sz w:val="18"/>
          <w:szCs w:val="18"/>
          <w:color w:val="auto"/>
        </w:rPr>
        <w:t>By:</w:t>
        <w:tab/>
        <w:t>/s/ Grant S. Moise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3214370</wp:posOffset>
            </wp:positionH>
            <wp:positionV relativeFrom="paragraph">
              <wp:posOffset>17145</wp:posOffset>
            </wp:positionV>
            <wp:extent cx="30943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2">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7" w:lineRule="exact"/>
        <w:rPr>
          <w:sz w:val="20"/>
          <w:szCs w:val="20"/>
          <w:color w:val="auto"/>
        </w:rPr>
      </w:pPr>
    </w:p>
    <w:p>
      <w:pPr>
        <w:ind w:left="5064"/>
        <w:spacing w:after="0"/>
        <w:rPr>
          <w:sz w:val="20"/>
          <w:szCs w:val="20"/>
          <w:color w:val="auto"/>
        </w:rPr>
      </w:pPr>
      <w:r>
        <w:rPr>
          <w:rFonts w:ascii="Times New Roman" w:cs="Times New Roman" w:eastAsia="Times New Roman" w:hAnsi="Times New Roman"/>
          <w:sz w:val="18"/>
          <w:szCs w:val="18"/>
          <w:color w:val="auto"/>
        </w:rPr>
        <w:t>Grant S. Moise</w:t>
      </w:r>
    </w:p>
    <w:p>
      <w:pPr>
        <w:spacing w:after="0" w:line="23" w:lineRule="exact"/>
        <w:rPr>
          <w:sz w:val="20"/>
          <w:szCs w:val="20"/>
          <w:color w:val="auto"/>
        </w:rPr>
      </w:pPr>
    </w:p>
    <w:p>
      <w:pPr>
        <w:ind w:left="5064"/>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left="4544"/>
        <w:spacing w:after="0"/>
        <w:rPr>
          <w:sz w:val="20"/>
          <w:szCs w:val="20"/>
          <w:color w:val="auto"/>
        </w:rPr>
      </w:pPr>
      <w:r>
        <w:rPr>
          <w:rFonts w:ascii="Times New Roman" w:cs="Times New Roman" w:eastAsia="Times New Roman" w:hAnsi="Times New Roman"/>
          <w:sz w:val="18"/>
          <w:szCs w:val="18"/>
          <w:color w:val="auto"/>
        </w:rPr>
        <w:t>Date:  March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278765</wp:posOffset>
            </wp:positionV>
            <wp:extent cx="6351905" cy="508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3">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4"/>
          </w:cols>
          <w:pgMar w:left="976" w:top="117" w:right="97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Katy Murray, President and Chief Financial Officer of DallasNews Corporation, certify that:</w:t>
      </w:r>
    </w:p>
    <w:p>
      <w:pPr>
        <w:spacing w:after="0" w:line="158" w:lineRule="exact"/>
        <w:rPr>
          <w:sz w:val="20"/>
          <w:szCs w:val="20"/>
          <w:color w:val="auto"/>
        </w:rPr>
      </w:pPr>
    </w:p>
    <w:p>
      <w:pPr>
        <w:ind w:left="324" w:hanging="324"/>
        <w:spacing w:after="0"/>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the Annual Report on Form 10-K of DallasNews Corporation;</w:t>
      </w:r>
    </w:p>
    <w:p>
      <w:pPr>
        <w:spacing w:after="0" w:line="157"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jc w:val="both"/>
        <w:ind w:left="324" w:right="20" w:hanging="324"/>
        <w:spacing w:after="0" w:line="266"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jc w:val="both"/>
        <w:ind w:left="644" w:right="20" w:hanging="320"/>
        <w:spacing w:after="0" w:line="266" w:lineRule="auto"/>
        <w:tabs>
          <w:tab w:leader="none" w:pos="64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jc w:val="both"/>
        <w:ind w:left="644" w:right="20" w:hanging="320"/>
        <w:spacing w:after="0" w:line="266" w:lineRule="auto"/>
        <w:tabs>
          <w:tab w:leader="none" w:pos="64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jc w:val="both"/>
        <w:ind w:left="644" w:right="20" w:hanging="320"/>
        <w:spacing w:after="0" w:line="266" w:lineRule="auto"/>
        <w:tabs>
          <w:tab w:leader="none" w:pos="64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jc w:val="both"/>
        <w:ind w:left="644" w:hanging="320"/>
        <w:spacing w:after="0" w:line="266" w:lineRule="auto"/>
        <w:tabs>
          <w:tab w:leader="none" w:pos="64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jc w:val="both"/>
        <w:ind w:left="644" w:right="20" w:hanging="320"/>
        <w:spacing w:after="0" w:line="266" w:lineRule="auto"/>
        <w:tabs>
          <w:tab w:leader="none" w:pos="64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644" w:right="20" w:hanging="320"/>
        <w:spacing w:after="0" w:line="282" w:lineRule="auto"/>
        <w:tabs>
          <w:tab w:leader="none" w:pos="64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ind w:left="4724"/>
        <w:spacing w:after="0"/>
        <w:tabs>
          <w:tab w:leader="none" w:pos="5204" w:val="left"/>
        </w:tabs>
        <w:rPr>
          <w:sz w:val="20"/>
          <w:szCs w:val="20"/>
          <w:color w:val="auto"/>
        </w:rPr>
      </w:pPr>
      <w:r>
        <w:rPr>
          <w:rFonts w:ascii="Times New Roman" w:cs="Times New Roman" w:eastAsia="Times New Roman" w:hAnsi="Times New Roman"/>
          <w:sz w:val="18"/>
          <w:szCs w:val="18"/>
          <w:color w:val="auto"/>
        </w:rPr>
        <w:t>By:</w:t>
        <w:tab/>
        <w:t>/s/ Katy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3317240</wp:posOffset>
            </wp:positionH>
            <wp:positionV relativeFrom="paragraph">
              <wp:posOffset>17145</wp:posOffset>
            </wp:positionV>
            <wp:extent cx="299148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4">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7" w:lineRule="exact"/>
        <w:rPr>
          <w:sz w:val="20"/>
          <w:szCs w:val="20"/>
          <w:color w:val="auto"/>
        </w:rPr>
      </w:pPr>
    </w:p>
    <w:p>
      <w:pPr>
        <w:ind w:left="5224"/>
        <w:spacing w:after="0"/>
        <w:rPr>
          <w:sz w:val="20"/>
          <w:szCs w:val="20"/>
          <w:color w:val="auto"/>
        </w:rPr>
      </w:pPr>
      <w:r>
        <w:rPr>
          <w:rFonts w:ascii="Times New Roman" w:cs="Times New Roman" w:eastAsia="Times New Roman" w:hAnsi="Times New Roman"/>
          <w:sz w:val="18"/>
          <w:szCs w:val="18"/>
          <w:color w:val="auto"/>
        </w:rPr>
        <w:t>Katy Murray</w:t>
      </w:r>
    </w:p>
    <w:p>
      <w:pPr>
        <w:spacing w:after="0" w:line="23" w:lineRule="exact"/>
        <w:rPr>
          <w:sz w:val="20"/>
          <w:szCs w:val="20"/>
          <w:color w:val="auto"/>
        </w:rPr>
      </w:pPr>
    </w:p>
    <w:p>
      <w:pPr>
        <w:ind w:left="5224"/>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pacing w:after="0" w:line="200" w:lineRule="exact"/>
        <w:rPr>
          <w:sz w:val="20"/>
          <w:szCs w:val="20"/>
          <w:color w:val="auto"/>
        </w:rPr>
      </w:pPr>
    </w:p>
    <w:p>
      <w:pPr>
        <w:spacing w:after="0" w:line="223" w:lineRule="exact"/>
        <w:rPr>
          <w:sz w:val="20"/>
          <w:szCs w:val="20"/>
          <w:color w:val="auto"/>
        </w:rPr>
      </w:pPr>
    </w:p>
    <w:p>
      <w:pPr>
        <w:ind w:left="4724"/>
        <w:spacing w:after="0"/>
        <w:rPr>
          <w:sz w:val="20"/>
          <w:szCs w:val="20"/>
          <w:color w:val="auto"/>
        </w:rPr>
      </w:pPr>
      <w:r>
        <w:rPr>
          <w:rFonts w:ascii="Times New Roman" w:cs="Times New Roman" w:eastAsia="Times New Roman" w:hAnsi="Times New Roman"/>
          <w:sz w:val="18"/>
          <w:szCs w:val="18"/>
          <w:color w:val="auto"/>
        </w:rPr>
        <w:t>Date: March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278765</wp:posOffset>
            </wp:positionV>
            <wp:extent cx="6351905" cy="514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5">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4"/>
          </w:cols>
          <w:pgMar w:left="976" w:top="117" w:right="97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4" w:right="2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DallasNews Corporation (the “Company”) on Form 10-K for the year ended December 31, 2022, as filed with the Securities and Exchange Commission on the date hereof (the “Report”), the undersigned, Grant S. Moise, Chief Executive Officer of the Company, and Katy Murray, President and Chief Financial Officer of the Company, each hereby certifies, pursuant to 18 U.S.C. § 1350, as adopted pursuant to § 906 of the Sarbanes-Oxley Act of 2002, that:</w:t>
      </w:r>
    </w:p>
    <w:p>
      <w:pPr>
        <w:spacing w:after="0" w:line="180" w:lineRule="exact"/>
        <w:rPr>
          <w:sz w:val="20"/>
          <w:szCs w:val="20"/>
          <w:color w:val="auto"/>
        </w:rPr>
      </w:pPr>
    </w:p>
    <w:p>
      <w:pPr>
        <w:ind w:left="324" w:hanging="324"/>
        <w:spacing w:after="0"/>
        <w:tabs>
          <w:tab w:leader="none" w:pos="3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4144"/>
        <w:spacing w:after="0"/>
        <w:tabs>
          <w:tab w:leader="none" w:pos="4624" w:val="left"/>
        </w:tabs>
        <w:rPr>
          <w:sz w:val="20"/>
          <w:szCs w:val="20"/>
          <w:color w:val="auto"/>
        </w:rPr>
      </w:pPr>
      <w:r>
        <w:rPr>
          <w:rFonts w:ascii="Times New Roman" w:cs="Times New Roman" w:eastAsia="Times New Roman" w:hAnsi="Times New Roman"/>
          <w:sz w:val="18"/>
          <w:szCs w:val="18"/>
          <w:color w:val="auto"/>
        </w:rPr>
        <w:t>By:</w:t>
        <w:tab/>
        <w:t>/s/ Grant S. Moise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17145</wp:posOffset>
            </wp:positionV>
            <wp:extent cx="33604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6">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7" w:lineRule="exact"/>
        <w:rPr>
          <w:sz w:val="20"/>
          <w:szCs w:val="20"/>
          <w:color w:val="auto"/>
        </w:rPr>
      </w:pPr>
    </w:p>
    <w:p>
      <w:pPr>
        <w:ind w:left="4644"/>
        <w:spacing w:after="0"/>
        <w:rPr>
          <w:sz w:val="20"/>
          <w:szCs w:val="20"/>
          <w:color w:val="auto"/>
        </w:rPr>
      </w:pPr>
      <w:r>
        <w:rPr>
          <w:rFonts w:ascii="Times New Roman" w:cs="Times New Roman" w:eastAsia="Times New Roman" w:hAnsi="Times New Roman"/>
          <w:sz w:val="18"/>
          <w:szCs w:val="18"/>
          <w:color w:val="auto"/>
        </w:rPr>
        <w:t>Grant S. Moise</w:t>
      </w:r>
    </w:p>
    <w:p>
      <w:pPr>
        <w:spacing w:after="0" w:line="31" w:lineRule="exact"/>
        <w:rPr>
          <w:sz w:val="20"/>
          <w:szCs w:val="20"/>
          <w:color w:val="auto"/>
        </w:rPr>
      </w:pPr>
    </w:p>
    <w:p>
      <w:pPr>
        <w:ind w:left="4644"/>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06" w:lineRule="exact"/>
        <w:rPr>
          <w:sz w:val="20"/>
          <w:szCs w:val="20"/>
          <w:color w:val="auto"/>
        </w:rPr>
      </w:pPr>
    </w:p>
    <w:p>
      <w:pPr>
        <w:jc w:val="center"/>
        <w:ind w:right="56"/>
        <w:spacing w:after="0"/>
        <w:rPr>
          <w:sz w:val="20"/>
          <w:szCs w:val="20"/>
          <w:color w:val="auto"/>
        </w:rPr>
      </w:pPr>
      <w:r>
        <w:rPr>
          <w:rFonts w:ascii="Times New Roman" w:cs="Times New Roman" w:eastAsia="Times New Roman" w:hAnsi="Times New Roman"/>
          <w:sz w:val="18"/>
          <w:szCs w:val="18"/>
          <w:color w:val="auto"/>
        </w:rPr>
        <w:t>Date: March 9, 2023</w:t>
      </w:r>
    </w:p>
    <w:p>
      <w:pPr>
        <w:spacing w:after="0" w:line="200" w:lineRule="exact"/>
        <w:rPr>
          <w:sz w:val="20"/>
          <w:szCs w:val="20"/>
          <w:color w:val="auto"/>
        </w:rPr>
      </w:pPr>
    </w:p>
    <w:p>
      <w:pPr>
        <w:spacing w:after="0" w:line="322" w:lineRule="exact"/>
        <w:rPr>
          <w:sz w:val="20"/>
          <w:szCs w:val="20"/>
          <w:color w:val="auto"/>
        </w:rPr>
      </w:pPr>
    </w:p>
    <w:p>
      <w:pPr>
        <w:ind w:left="4144"/>
        <w:spacing w:after="0"/>
        <w:tabs>
          <w:tab w:leader="none" w:pos="4624" w:val="left"/>
        </w:tabs>
        <w:rPr>
          <w:sz w:val="20"/>
          <w:szCs w:val="20"/>
          <w:color w:val="auto"/>
        </w:rPr>
      </w:pPr>
      <w:r>
        <w:rPr>
          <w:rFonts w:ascii="Times New Roman" w:cs="Times New Roman" w:eastAsia="Times New Roman" w:hAnsi="Times New Roman"/>
          <w:sz w:val="18"/>
          <w:szCs w:val="18"/>
          <w:color w:val="auto"/>
        </w:rPr>
        <w:t>By:</w:t>
        <w:tab/>
        <w:t>/s/ Katy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17145</wp:posOffset>
            </wp:positionV>
            <wp:extent cx="33604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7">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7" w:lineRule="exact"/>
        <w:rPr>
          <w:sz w:val="20"/>
          <w:szCs w:val="20"/>
          <w:color w:val="auto"/>
        </w:rPr>
      </w:pPr>
    </w:p>
    <w:p>
      <w:pPr>
        <w:ind w:left="4644"/>
        <w:spacing w:after="0"/>
        <w:rPr>
          <w:sz w:val="20"/>
          <w:szCs w:val="20"/>
          <w:color w:val="auto"/>
        </w:rPr>
      </w:pPr>
      <w:r>
        <w:rPr>
          <w:rFonts w:ascii="Times New Roman" w:cs="Times New Roman" w:eastAsia="Times New Roman" w:hAnsi="Times New Roman"/>
          <w:sz w:val="18"/>
          <w:szCs w:val="18"/>
          <w:color w:val="auto"/>
        </w:rPr>
        <w:t>Katy Murray</w:t>
      </w:r>
    </w:p>
    <w:p>
      <w:pPr>
        <w:spacing w:after="0" w:line="31" w:lineRule="exact"/>
        <w:rPr>
          <w:sz w:val="20"/>
          <w:szCs w:val="20"/>
          <w:color w:val="auto"/>
        </w:rPr>
      </w:pPr>
    </w:p>
    <w:p>
      <w:pPr>
        <w:ind w:left="4644"/>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pacing w:after="0" w:line="306"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18"/>
          <w:szCs w:val="18"/>
          <w:color w:val="auto"/>
        </w:rPr>
        <w:t>Date: March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415925</wp:posOffset>
            </wp:positionV>
            <wp:extent cx="6351905" cy="508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8">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sectPr>
      <w:pgSz w:w="11900" w:h="16838" w:orient="portrait"/>
      <w:cols w:equalWidth="0" w:num="1">
        <w:col w:w="9944"/>
      </w:cols>
      <w:pgMar w:left="976" w:top="117"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
      <w:numFmt w:val="bullet"/>
      <w:start w:val="1"/>
    </w:lvl>
  </w:abstractNum>
  <w:abstractNum w:abstractNumId="3">
    <w:nsid w:val="1F16E9E8"/>
    <w:multiLevelType w:val="hybridMultilevel"/>
    <w:lvl w:ilvl="0">
      <w:lvlJc w:val="left"/>
      <w:lvlText w:val=" "/>
      <w:numFmt w:val="bullet"/>
      <w:start w:val="1"/>
    </w:lvl>
  </w:abstractNum>
  <w:abstractNum w:abstractNumId="4">
    <w:nsid w:val="1190CDE7"/>
    <w:multiLevelType w:val="hybridMultilevel"/>
    <w:lvl w:ilvl="0">
      <w:lvlJc w:val="left"/>
      <w:lvlText w:val=" "/>
      <w:numFmt w:val="bullet"/>
      <w:start w:val="1"/>
    </w:lvl>
  </w:abstractNum>
  <w:abstractNum w:abstractNumId="5">
    <w:nsid w:val="66EF438D"/>
    <w:multiLevelType w:val="hybridMultilevel"/>
    <w:lvl w:ilvl="0">
      <w:lvlJc w:val="left"/>
      <w:lvlText w:val=" "/>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4"/>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lowerRoman"/>
      <w:start w:val="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63"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82" Type="http://schemas.openxmlformats.org/officeDocument/2006/relationships/image" Target="media/image59.png"/><Relationship Id="rId83" Type="http://schemas.openxmlformats.org/officeDocument/2006/relationships/image" Target="media/image60.png"/><Relationship Id="rId84" Type="http://schemas.openxmlformats.org/officeDocument/2006/relationships/image" Target="media/image61.png"/><Relationship Id="rId86" Type="http://schemas.openxmlformats.org/officeDocument/2006/relationships/image" Target="media/image62.png"/><Relationship Id="rId88" Type="http://schemas.openxmlformats.org/officeDocument/2006/relationships/image" Target="media/image63.png"/><Relationship Id="rId89" Type="http://schemas.openxmlformats.org/officeDocument/2006/relationships/image" Target="media/image64.png"/><Relationship Id="rId95" Type="http://schemas.openxmlformats.org/officeDocument/2006/relationships/image" Target="media/image65.png"/><Relationship Id="rId96" Type="http://schemas.openxmlformats.org/officeDocument/2006/relationships/image" Target="media/image66.png"/><Relationship Id="rId97" Type="http://schemas.openxmlformats.org/officeDocument/2006/relationships/image" Target="media/image67.png"/><Relationship Id="rId98" Type="http://schemas.openxmlformats.org/officeDocument/2006/relationships/image" Target="media/image68.png"/><Relationship Id="rId99" Type="http://schemas.openxmlformats.org/officeDocument/2006/relationships/image" Target="media/image69.png"/><Relationship Id="rId100" Type="http://schemas.openxmlformats.org/officeDocument/2006/relationships/image" Target="media/image70.png"/><Relationship Id="rId101" Type="http://schemas.openxmlformats.org/officeDocument/2006/relationships/image" Target="media/image71.png"/><Relationship Id="rId103" Type="http://schemas.openxmlformats.org/officeDocument/2006/relationships/image" Target="media/image72.png"/><Relationship Id="rId104" Type="http://schemas.openxmlformats.org/officeDocument/2006/relationships/image" Target="media/image73.png"/><Relationship Id="rId105" Type="http://schemas.openxmlformats.org/officeDocument/2006/relationships/image" Target="media/image74.png"/><Relationship Id="rId107" Type="http://schemas.openxmlformats.org/officeDocument/2006/relationships/image" Target="media/image75.png"/><Relationship Id="rId109" Type="http://schemas.openxmlformats.org/officeDocument/2006/relationships/image" Target="media/image76.png"/><Relationship Id="rId111" Type="http://schemas.openxmlformats.org/officeDocument/2006/relationships/image" Target="media/image77.png"/><Relationship Id="rId112" Type="http://schemas.openxmlformats.org/officeDocument/2006/relationships/image" Target="media/image78.png"/><Relationship Id="rId113" Type="http://schemas.openxmlformats.org/officeDocument/2006/relationships/image" Target="media/image79.png"/><Relationship Id="rId114" Type="http://schemas.openxmlformats.org/officeDocument/2006/relationships/image" Target="media/image80.png"/><Relationship Id="rId117" Type="http://schemas.openxmlformats.org/officeDocument/2006/relationships/image" Target="media/image81.png"/><Relationship Id="rId118" Type="http://schemas.openxmlformats.org/officeDocument/2006/relationships/image" Target="media/image82.png"/><Relationship Id="rId119" Type="http://schemas.openxmlformats.org/officeDocument/2006/relationships/image" Target="media/image83.png"/><Relationship Id="rId120" Type="http://schemas.openxmlformats.org/officeDocument/2006/relationships/image" Target="media/image84.png"/><Relationship Id="rId121" Type="http://schemas.openxmlformats.org/officeDocument/2006/relationships/image" Target="media/image85.png"/><Relationship Id="rId122" Type="http://schemas.openxmlformats.org/officeDocument/2006/relationships/image" Target="media/image86.png"/><Relationship Id="rId123" Type="http://schemas.openxmlformats.org/officeDocument/2006/relationships/image" Target="media/image87.png"/><Relationship Id="rId124" Type="http://schemas.openxmlformats.org/officeDocument/2006/relationships/image" Target="media/image88.png"/><Relationship Id="rId125" Type="http://schemas.openxmlformats.org/officeDocument/2006/relationships/image" Target="media/image89.png"/><Relationship Id="rId126" Type="http://schemas.openxmlformats.org/officeDocument/2006/relationships/image" Target="media/image90.png"/><Relationship Id="rId127" Type="http://schemas.openxmlformats.org/officeDocument/2006/relationships/image" Target="media/image91.png"/><Relationship Id="rId128" Type="http://schemas.openxmlformats.org/officeDocument/2006/relationships/image" Target="media/image92.png"/><Relationship Id="rId129" Type="http://schemas.openxmlformats.org/officeDocument/2006/relationships/image" Target="media/image93.png"/><Relationship Id="rId130" Type="http://schemas.openxmlformats.org/officeDocument/2006/relationships/image" Target="media/image94.png"/><Relationship Id="rId131" Type="http://schemas.openxmlformats.org/officeDocument/2006/relationships/image" Target="media/image95.png"/><Relationship Id="rId132" Type="http://schemas.openxmlformats.org/officeDocument/2006/relationships/image" Target="media/image96.png"/><Relationship Id="rId133" Type="http://schemas.openxmlformats.org/officeDocument/2006/relationships/image" Target="media/image97.png"/><Relationship Id="rId134" Type="http://schemas.openxmlformats.org/officeDocument/2006/relationships/image" Target="media/image98.png"/><Relationship Id="rId135" Type="http://schemas.openxmlformats.org/officeDocument/2006/relationships/image" Target="media/image99.png"/><Relationship Id="rId136" Type="http://schemas.openxmlformats.org/officeDocument/2006/relationships/image" Target="media/image100.png"/><Relationship Id="rId137" Type="http://schemas.openxmlformats.org/officeDocument/2006/relationships/image" Target="media/image101.png"/><Relationship Id="rId138" Type="http://schemas.openxmlformats.org/officeDocument/2006/relationships/image" Target="media/image102.png"/><Relationship Id="rId139" Type="http://schemas.openxmlformats.org/officeDocument/2006/relationships/image" Target="media/image103.png"/><Relationship Id="rId140" Type="http://schemas.openxmlformats.org/officeDocument/2006/relationships/image" Target="media/image104.png"/><Relationship Id="rId141" Type="http://schemas.openxmlformats.org/officeDocument/2006/relationships/image" Target="media/image105.png"/><Relationship Id="rId142" Type="http://schemas.openxmlformats.org/officeDocument/2006/relationships/image" Target="media/image106.png"/><Relationship Id="rId143" Type="http://schemas.openxmlformats.org/officeDocument/2006/relationships/image" Target="media/image107.png"/><Relationship Id="rId144" Type="http://schemas.openxmlformats.org/officeDocument/2006/relationships/image" Target="media/image108.png"/><Relationship Id="rId145" Type="http://schemas.openxmlformats.org/officeDocument/2006/relationships/image" Target="media/image109.png"/><Relationship Id="rId146" Type="http://schemas.openxmlformats.org/officeDocument/2006/relationships/image" Target="media/image110.png"/><Relationship Id="rId147" Type="http://schemas.openxmlformats.org/officeDocument/2006/relationships/image" Target="media/image111.png"/><Relationship Id="rId148" Type="http://schemas.openxmlformats.org/officeDocument/2006/relationships/image" Target="media/image112.png"/><Relationship Id="rId149" Type="http://schemas.openxmlformats.org/officeDocument/2006/relationships/image" Target="media/image113.png"/><Relationship Id="rId150" Type="http://schemas.openxmlformats.org/officeDocument/2006/relationships/image" Target="media/image114.png"/><Relationship Id="rId151" Type="http://schemas.openxmlformats.org/officeDocument/2006/relationships/image" Target="media/image115.png"/><Relationship Id="rId152" Type="http://schemas.openxmlformats.org/officeDocument/2006/relationships/image" Target="media/image116.png"/><Relationship Id="rId153" Type="http://schemas.openxmlformats.org/officeDocument/2006/relationships/image" Target="media/image117.png"/><Relationship Id="rId154" Type="http://schemas.openxmlformats.org/officeDocument/2006/relationships/image" Target="media/image118.png"/><Relationship Id="rId155" Type="http://schemas.openxmlformats.org/officeDocument/2006/relationships/image" Target="media/image119.png"/><Relationship Id="rId156" Type="http://schemas.openxmlformats.org/officeDocument/2006/relationships/image" Target="media/image120.png"/><Relationship Id="rId157" Type="http://schemas.openxmlformats.org/officeDocument/2006/relationships/image" Target="media/image121.png"/><Relationship Id="rId158" Type="http://schemas.openxmlformats.org/officeDocument/2006/relationships/image" Target="media/image122.png"/><Relationship Id="rId159" Type="http://schemas.openxmlformats.org/officeDocument/2006/relationships/image" Target="media/image123.png"/><Relationship Id="rId160" Type="http://schemas.openxmlformats.org/officeDocument/2006/relationships/image" Target="media/image124.png"/><Relationship Id="rId161" Type="http://schemas.openxmlformats.org/officeDocument/2006/relationships/image" Target="media/image125.png"/><Relationship Id="rId162" Type="http://schemas.openxmlformats.org/officeDocument/2006/relationships/image" Target="media/image126.png"/><Relationship Id="rId163" Type="http://schemas.openxmlformats.org/officeDocument/2006/relationships/image" Target="media/image127.png"/><Relationship Id="rId164" Type="http://schemas.openxmlformats.org/officeDocument/2006/relationships/image" Target="media/image128.png"/><Relationship Id="rId165" Type="http://schemas.openxmlformats.org/officeDocument/2006/relationships/image" Target="media/image129.png"/><Relationship Id="rId166" Type="http://schemas.openxmlformats.org/officeDocument/2006/relationships/image" Target="media/image130.png"/><Relationship Id="rId167" Type="http://schemas.openxmlformats.org/officeDocument/2006/relationships/image" Target="media/image131.png"/><Relationship Id="rId168" Type="http://schemas.openxmlformats.org/officeDocument/2006/relationships/image" Target="media/image132.png"/><Relationship Id="rId169" Type="http://schemas.openxmlformats.org/officeDocument/2006/relationships/image" Target="media/image133.png"/><Relationship Id="rId170" Type="http://schemas.openxmlformats.org/officeDocument/2006/relationships/image" Target="media/image134.png"/><Relationship Id="rId171" Type="http://schemas.openxmlformats.org/officeDocument/2006/relationships/image" Target="media/image135.png"/><Relationship Id="rId172" Type="http://schemas.openxmlformats.org/officeDocument/2006/relationships/image" Target="media/image136.png"/><Relationship Id="rId173" Type="http://schemas.openxmlformats.org/officeDocument/2006/relationships/image" Target="media/image137.png"/><Relationship Id="rId174" Type="http://schemas.openxmlformats.org/officeDocument/2006/relationships/image" Target="media/image138.png"/><Relationship Id="rId175" Type="http://schemas.openxmlformats.org/officeDocument/2006/relationships/image" Target="media/image139.png"/><Relationship Id="rId176" Type="http://schemas.openxmlformats.org/officeDocument/2006/relationships/image" Target="media/image140.png"/><Relationship Id="rId177" Type="http://schemas.openxmlformats.org/officeDocument/2006/relationships/image" Target="media/image141.png"/><Relationship Id="rId178" Type="http://schemas.openxmlformats.org/officeDocument/2006/relationships/image" Target="media/image142.png"/><Relationship Id="rId179" Type="http://schemas.openxmlformats.org/officeDocument/2006/relationships/image" Target="media/image143.png"/><Relationship Id="rId180" Type="http://schemas.openxmlformats.org/officeDocument/2006/relationships/image" Target="media/image144.png"/><Relationship Id="rId181" Type="http://schemas.openxmlformats.org/officeDocument/2006/relationships/image" Target="media/image145.png"/><Relationship Id="rId182" Type="http://schemas.openxmlformats.org/officeDocument/2006/relationships/image" Target="media/image146.png"/><Relationship Id="rId183" Type="http://schemas.openxmlformats.org/officeDocument/2006/relationships/image" Target="media/image147.png"/><Relationship Id="rId184" Type="http://schemas.openxmlformats.org/officeDocument/2006/relationships/image" Target="media/image148.png"/><Relationship Id="rId185" Type="http://schemas.openxmlformats.org/officeDocument/2006/relationships/image" Target="media/image149.png"/><Relationship Id="rId186" Type="http://schemas.openxmlformats.org/officeDocument/2006/relationships/image" Target="media/image150.png"/><Relationship Id="rId187" Type="http://schemas.openxmlformats.org/officeDocument/2006/relationships/image" Target="media/image151.png"/><Relationship Id="rId188" Type="http://schemas.openxmlformats.org/officeDocument/2006/relationships/image" Target="media/image152.png"/><Relationship Id="rId189" Type="http://schemas.openxmlformats.org/officeDocument/2006/relationships/image" Target="media/image153.png"/><Relationship Id="rId190" Type="http://schemas.openxmlformats.org/officeDocument/2006/relationships/image" Target="media/image154.png"/><Relationship Id="rId191" Type="http://schemas.openxmlformats.org/officeDocument/2006/relationships/image" Target="media/image155.png"/><Relationship Id="rId192" Type="http://schemas.openxmlformats.org/officeDocument/2006/relationships/image" Target="media/image156.png"/><Relationship Id="rId193" Type="http://schemas.openxmlformats.org/officeDocument/2006/relationships/image" Target="media/image157.png"/><Relationship Id="rId194" Type="http://schemas.openxmlformats.org/officeDocument/2006/relationships/image" Target="media/image158.png"/><Relationship Id="rId195" Type="http://schemas.openxmlformats.org/officeDocument/2006/relationships/image" Target="media/image159.png"/><Relationship Id="rId196" Type="http://schemas.openxmlformats.org/officeDocument/2006/relationships/image" Target="media/image160.png"/><Relationship Id="rId197" Type="http://schemas.openxmlformats.org/officeDocument/2006/relationships/image" Target="media/image161.png"/><Relationship Id="rId198" Type="http://schemas.openxmlformats.org/officeDocument/2006/relationships/image" Target="media/image162.png"/><Relationship Id="rId55" Type="http://schemas.openxmlformats.org/officeDocument/2006/relationships/hyperlink" Target="http://www.sec.gov/Archives/edgar/data/1413898/000119312518126889/d571218dex31.htm" TargetMode="External"/><Relationship Id="rId56" Type="http://schemas.openxmlformats.org/officeDocument/2006/relationships/hyperlink" Target="http://www.sec.gov/Archives/edgar/data/1413898/000119312518210380/d601056dex33.htm" TargetMode="External"/><Relationship Id="rId57" Type="http://schemas.openxmlformats.org/officeDocument/2006/relationships/hyperlink" Target="http://www.sec.gov/Archives/edgar/data/1413898/000119312518210380/d601056dex34.htm" TargetMode="External"/><Relationship Id="rId58" Type="http://schemas.openxmlformats.org/officeDocument/2006/relationships/hyperlink" Target="http://www.sec.gov/Archives/edgar/data/1413898/000141389821000031/ahc-20210608xex3_1.htm" TargetMode="External"/><Relationship Id="rId59" Type="http://schemas.openxmlformats.org/officeDocument/2006/relationships/hyperlink" Target="http://www.sec.gov/Archives/edgar/data/1413898/000141389821000044/daln-20210629xex3_1.htm" TargetMode="External"/><Relationship Id="rId60" Type="http://schemas.openxmlformats.org/officeDocument/2006/relationships/hyperlink" Target="http://www.sec.gov/Archives/edgar/data/1413898/000141389821000044/daln-20210629xex3_2.htm" TargetMode="External"/><Relationship Id="rId61" Type="http://schemas.openxmlformats.org/officeDocument/2006/relationships/hyperlink" Target="http://www.sec.gov/Archives/edgar/data/1413898/000141389821000044/daln-20210629xex3_3.htm" TargetMode="External"/><Relationship Id="rId62" Type="http://schemas.openxmlformats.org/officeDocument/2006/relationships/hyperlink" Target="http://www.sec.gov/Archives/edgar/data/1413898/000119312518210380/d601056dex41.htm" TargetMode="External"/><Relationship Id="rId64" Type="http://schemas.openxmlformats.org/officeDocument/2006/relationships/hyperlink" Target="http://www.sec.gov/Archives/edgar/data/1413898/000141389817000005/c898-20170103xex10_1subl.htm" TargetMode="External"/><Relationship Id="rId65" Type="http://schemas.openxmlformats.org/officeDocument/2006/relationships/hyperlink" Target="http://www.sec.gov/Archives/edgar/data/1413898/000141389817000005/c898-20170103xex10_2guar.htm" TargetMode="External"/><Relationship Id="rId66" Type="http://schemas.openxmlformats.org/officeDocument/2006/relationships/hyperlink" Target="http://www.sec.gov/Archives/edgar/data/1413898/000141389819000017/ahc-20190506xex10_1.htm" TargetMode="External"/><Relationship Id="rId77" Type="http://schemas.openxmlformats.org/officeDocument/2006/relationships/hyperlink" Target="http://www.sec.gov/Archives/edgar/data/1413898/000141389819000023/ahc-20190517xex10_1.htm" TargetMode="External"/><Relationship Id="rId78" Type="http://schemas.openxmlformats.org/officeDocument/2006/relationships/hyperlink" Target="http://www.sec.gov/Archives/edgar/data/1413898/000141389820000032/ahc-20200403xex10_1.htm" TargetMode="External"/><Relationship Id="rId79" Type="http://schemas.openxmlformats.org/officeDocument/2006/relationships/hyperlink" Target="http://www.sec.gov/Archives/edgar/data/1413898/000141389820000032/ahc-20200403xex10_2.htm" TargetMode="External"/><Relationship Id="rId80" Type="http://schemas.openxmlformats.org/officeDocument/2006/relationships/hyperlink" Target="http://www.sec.gov/Archives/edgar/data/1413898/000141389821000044/daln-20210629xex10_1.htm" TargetMode="External"/><Relationship Id="rId81" Type="http://schemas.openxmlformats.org/officeDocument/2006/relationships/hyperlink" Target="http://www.sec.gov/Archives/edgar/data/1413898/000141389822000022/daln-20220630xex10_1.htm" TargetMode="External"/><Relationship Id="rId85" Type="http://schemas.openxmlformats.org/officeDocument/2006/relationships/hyperlink" Target="http://www.sec.gov/Archives/edgar/data/1413898/000141389822000028/daln-20220630xex10_21.htm" TargetMode="External"/><Relationship Id="rId87" Type="http://schemas.openxmlformats.org/officeDocument/2006/relationships/hyperlink" Target="http://www.sec.gov/Archives/edgar/data/1413898/000119312517099677/d328847ddef14a.htm" TargetMode="External"/><Relationship Id="rId90" Type="http://schemas.openxmlformats.org/officeDocument/2006/relationships/hyperlink" Target="http://www.sec.gov/Archives/edgar/data/1413898/000141389817000028/c898-20170510xex10_1.htm" TargetMode="External"/><Relationship Id="rId91" Type="http://schemas.openxmlformats.org/officeDocument/2006/relationships/hyperlink" Target="http://www.sec.gov/Archives/edgar/data/1413898/000141389817000028/c898-20170510xex10_2.htm" TargetMode="External"/><Relationship Id="rId92" Type="http://schemas.openxmlformats.org/officeDocument/2006/relationships/hyperlink" Target="http://www.sec.gov/Archives/edgar/data/1413898/000119312518210380/d601056dex101.htm" TargetMode="External"/><Relationship Id="rId93" Type="http://schemas.openxmlformats.org/officeDocument/2006/relationships/hyperlink" Target="http://www.sec.gov/Archives/edgar/data/1413898/000141389818000061/ahc-20181206xex10_3.htm" TargetMode="External"/><Relationship Id="rId94" Type="http://schemas.openxmlformats.org/officeDocument/2006/relationships/hyperlink" Target="http://www.sec.gov/Archives/edgar/data/1413898/000141389821000028/ahc-20210513xex10_1.htm" TargetMode="External"/><Relationship Id="rId102" Type="http://schemas.openxmlformats.org/officeDocument/2006/relationships/hyperlink" Target="http://www.sec.gov/Archives/edgar/data/1413898/000141389819000008/ahc-20181231xex10_1.htm" TargetMode="External"/><Relationship Id="rId106" Type="http://schemas.openxmlformats.org/officeDocument/2006/relationships/hyperlink" Target="http://www.sec.gov/Archives/edgar/data/1413898/000141389822000019/daln-20220512xex10_1.htm" TargetMode="External"/><Relationship Id="rId108" Type="http://schemas.openxmlformats.org/officeDocument/2006/relationships/hyperlink" Target="http://www.sec.gov/Archives/edgar/data/1413898/000141389822000019/daln-20220512xex10_2.htm" TargetMode="External"/><Relationship Id="rId110" Type="http://schemas.openxmlformats.org/officeDocument/2006/relationships/hyperlink" Target="http://www.sec.gov/Archives/edgar/data/1413898/000141389822000019/daln-20220512xex10_3.htm" TargetMode="External"/><Relationship Id="rId115" Type="http://schemas.openxmlformats.org/officeDocument/2006/relationships/hyperlink" Target="http://www.sec.gov/Archives/edgar/data/1413898/000095012310092376/d76421exv10w1.htm" TargetMode="External"/><Relationship Id="rId116" Type="http://schemas.openxmlformats.org/officeDocument/2006/relationships/hyperlink" Target="http://www.sec.gov/Archives/edgar/data/1413898/000095012311024802/d80096exv10w3w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2023-03-09T17:23:41Z</dcterms:created>
  <dcterms:modified xsi:type="dcterms:W3CDTF">2023-03-09T17:23:41Z</dcterms:modified>
</cp:coreProperties>
</file>